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564DF" w14:textId="11F4FE4D" w:rsidR="00B73F7B" w:rsidRDefault="00B73F7B" w:rsidP="00B73F7B">
      <w:pPr>
        <w:pStyle w:val="Heading1"/>
      </w:pPr>
      <w:r>
        <w:t>Art. 19 Zones de servitude « couloirs et espaces réservés »</w:t>
      </w:r>
    </w:p>
    <w:p w14:paraId="3ECB939B" w14:textId="53D26CB1" w:rsidR="00B73F7B" w:rsidRDefault="00B73F7B" w:rsidP="00B73F7B">
      <w:r>
        <w:t>Les servitudes « couloirs et espaces réservés » se rapportent à des fonds réservés soit aux projets d’infrastructures de circulation ou de canalisation, soit à l’écoulement et à la rétention des eaux pluviales.</w:t>
      </w:r>
    </w:p>
    <w:p w14:paraId="22EA7DEC" w14:textId="77777777" w:rsidR="00B73F7B" w:rsidRDefault="00B73F7B" w:rsidP="00B73F7B">
      <w:r>
        <w:t>Les couloirs et espaces réservés doivent être gardés libres de toute construction jusqu’à la réalisation des travaux visés à l’alinéa premier.</w:t>
      </w:r>
    </w:p>
    <w:p w14:paraId="754D3744" w14:textId="07F4553C" w:rsidR="001E4D4D" w:rsidRPr="007D461A" w:rsidRDefault="00B73F7B" w:rsidP="00B73F7B">
      <w:r>
        <w:t>Dès que les travaux visés à l’alinéa premier ont été entamés de manière significative, les prescriptions fixées à l’alinéa précédent ne produisent plus d’effets.</w:t>
      </w:r>
      <w:bookmarkStart w:id="0" w:name="_GoBack"/>
      <w:bookmarkEnd w:id="0"/>
    </w:p>
    <w:sectPr w:rsidR="001E4D4D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E4D4D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73F7B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2022-11-04T08:28:00Z</dcterms:modified>
</cp:coreProperties>
</file>