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482AAD" w14:textId="0EBF1964" w:rsidR="006E00F1" w:rsidRDefault="006E00F1" w:rsidP="006E00F1">
      <w:pPr>
        <w:pStyle w:val="Heading1"/>
      </w:pPr>
      <w:r w:rsidRPr="006E00F1">
        <w:t>Art. 4 Zones mixtes</w:t>
      </w:r>
    </w:p>
    <w:p w14:paraId="7A130B4E" w14:textId="07F1CCBD" w:rsidR="006E00F1" w:rsidRDefault="006E00F1" w:rsidP="006E00F1">
      <w:pPr>
        <w:pStyle w:val="Heading2"/>
      </w:pPr>
      <w:r>
        <w:t>Art. 4.2 Zone mixte rurale (MIX-r)</w:t>
      </w:r>
    </w:p>
    <w:p w14:paraId="47A5A439" w14:textId="77777777" w:rsidR="006E00F1" w:rsidRDefault="006E00F1" w:rsidP="006E00F1">
      <w:r>
        <w:t>La zone mixte rurale couvre les localités ou parties de localités à caractère rural. Elle est destinée aux exploitations agricoles, jardinières et horticoles, maraîchères, viticoles, piscicoles, apicoles, ainsi qu’aux centres équestres.</w:t>
      </w:r>
    </w:p>
    <w:p w14:paraId="382E5E43" w14:textId="51BF9BBF" w:rsidR="00D345A9" w:rsidRPr="007D461A" w:rsidRDefault="006E00F1" w:rsidP="006E00F1">
      <w:r>
        <w:t>Y sont également admises des maisons unifamiliales, des activités de commerce, des activités artisanales, des activités de loisirs et culturelles qui sont en relation directe avec la destination principale de la zone.</w:t>
      </w:r>
      <w:bookmarkStart w:id="0" w:name="_GoBack"/>
      <w:bookmarkEnd w:id="0"/>
    </w:p>
    <w:sectPr w:rsidR="00D345A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6E00F1"/>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45A9"/>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432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2022-11-04T08:28:00Z</dcterms:modified>
</cp:coreProperties>
</file>