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E37D3" w14:textId="47919D1B" w:rsidR="00FA4EB7" w:rsidRDefault="00FA4EB7" w:rsidP="00FA4EB7">
      <w:pPr>
        <w:pStyle w:val="Title"/>
      </w:pPr>
      <w:r>
        <w:t>C. Règles spécifiques applicables aux PAP « QE – équipements » (QE_E, QE_E-idS)</w:t>
      </w:r>
    </w:p>
    <w:p w14:paraId="01F05B25" w14:textId="77777777" w:rsidR="00FA4EB7" w:rsidRPr="00FA4EB7" w:rsidRDefault="00FA4EB7" w:rsidP="00FA4EB7">
      <w:pPr>
        <w:pStyle w:val="Heading1"/>
      </w:pPr>
      <w:r w:rsidRPr="00FA4EB7">
        <w:t>Art. 18 Champ d’application</w:t>
      </w:r>
    </w:p>
    <w:p w14:paraId="7CE54479" w14:textId="5589FBB9" w:rsidR="00FA4EB7" w:rsidRDefault="00FA4EB7" w:rsidP="00FA4EB7">
      <w:r>
        <w:t>Les délimitations des PAP « QE – équipements » sont fixées dans la partie graphique.</w:t>
      </w:r>
    </w:p>
    <w:p w14:paraId="001C974A" w14:textId="54275D6D" w:rsidR="002A41A8" w:rsidRDefault="00FA4EB7" w:rsidP="00FA4EB7">
      <w:r>
        <w:t>Les PAP « QE – équipements » sont subdivisés en « QE – équipements » (QE_E) et en « QE – équipements in der Säitert » (QE_E-idS).</w:t>
      </w:r>
      <w:bookmarkStart w:id="0" w:name="_GoBack"/>
      <w:bookmarkEnd w:id="0"/>
    </w:p>
    <w:p w14:paraId="2312323E" w14:textId="77777777" w:rsidR="00FA4EB7" w:rsidRDefault="00FA4EB7" w:rsidP="00FA4EB7">
      <w:pPr>
        <w:pStyle w:val="Heading1"/>
      </w:pPr>
      <w:r>
        <w:t>Art. 19 Type des constructions</w:t>
      </w:r>
    </w:p>
    <w:p w14:paraId="0C1E37D1" w14:textId="589CE8EB" w:rsidR="00FA4EB7" w:rsidRDefault="00FA4EB7" w:rsidP="00FA4EB7">
      <w:r>
        <w:t>Les « QE – équipements » sont réservés aux constructions isolées, jumelées ou érigées en ordre contigu, ainsi qu’aux constructions, installations, aménagements et espaces libres qui sont leur complément naturel.</w:t>
      </w:r>
    </w:p>
    <w:p w14:paraId="7E4FF562" w14:textId="0E5CE2E8" w:rsidR="00FA4EB7" w:rsidRDefault="00FA4EB7" w:rsidP="00FA4EB7">
      <w:r>
        <w:t>En « QE – équipements in der Säitert » seuls sont autorisés les emplacements de stationnement à ciel ouvert, les installations et aménagements relatives à l’alimentation en eau potable et les dépôts de matériel à ciel ouvert.</w:t>
      </w:r>
    </w:p>
    <w:p w14:paraId="5C85B419" w14:textId="77777777" w:rsidR="00FA4EB7" w:rsidRDefault="00FA4EB7" w:rsidP="00FA4EB7">
      <w:pPr>
        <w:pStyle w:val="Heading1"/>
      </w:pPr>
      <w:r>
        <w:t>Art. 20 Nombre de logements</w:t>
      </w:r>
    </w:p>
    <w:p w14:paraId="105B1AE5" w14:textId="77777777" w:rsidR="00FA4EB7" w:rsidRDefault="00FA4EB7" w:rsidP="00FA4EB7">
      <w:r>
        <w:t>Le nombre de logements est défini par l’autorisation de construire par rapport au besoin concret de l’utilisation visée. Il est à justifier dans le cadre de la demande d’autorisation de construire.</w:t>
      </w:r>
    </w:p>
    <w:p w14:paraId="122387AE" w14:textId="77777777" w:rsidR="00FA4EB7" w:rsidRDefault="00FA4EB7" w:rsidP="00FA4EB7">
      <w:r>
        <w:t>Un logement de service à l’usage du personnel dont la présence permanente est nécessaire est autorisé par parcelle. Il est à intégrer dans le corps même de la construction.</w:t>
      </w:r>
    </w:p>
    <w:p w14:paraId="7818D26F" w14:textId="11FDA26D" w:rsidR="00FA4EB7" w:rsidRDefault="00FA4EB7" w:rsidP="00FA4EB7">
      <w:r>
        <w:t>En « QE – équipements in der Säitert » tout logement est interdit.</w:t>
      </w:r>
    </w:p>
    <w:p w14:paraId="6B4DDD50" w14:textId="77777777" w:rsidR="00FA4EB7" w:rsidRPr="00FA4EB7" w:rsidRDefault="00FA4EB7" w:rsidP="00FA4EB7">
      <w:pPr>
        <w:pStyle w:val="Heading1"/>
      </w:pPr>
      <w:r w:rsidRPr="00FA4EB7">
        <w:t>Art. 21 Implantation des constructions</w:t>
      </w:r>
    </w:p>
    <w:p w14:paraId="253042F8" w14:textId="30D2B8E9" w:rsidR="00FA4EB7" w:rsidRDefault="00FA4EB7" w:rsidP="00FA4EB7">
      <w:pPr>
        <w:pStyle w:val="ListParagraph"/>
        <w:numPr>
          <w:ilvl w:val="0"/>
          <w:numId w:val="8"/>
        </w:numPr>
      </w:pPr>
      <w:r>
        <w:t>Bande de construction</w:t>
      </w:r>
    </w:p>
    <w:p w14:paraId="4785F624" w14:textId="77777777" w:rsidR="00FA4EB7" w:rsidRDefault="00FA4EB7" w:rsidP="00FA4EB7">
      <w:pPr>
        <w:ind w:left="720"/>
      </w:pPr>
      <w:r>
        <w:t>La bande de construction n’est pas réglementée.</w:t>
      </w:r>
    </w:p>
    <w:p w14:paraId="794098F1" w14:textId="14D0F5C2" w:rsidR="00FA4EB7" w:rsidRDefault="00FA4EB7" w:rsidP="00FA4EB7">
      <w:pPr>
        <w:pStyle w:val="ListParagraph"/>
        <w:numPr>
          <w:ilvl w:val="0"/>
          <w:numId w:val="8"/>
        </w:numPr>
      </w:pPr>
      <w:r>
        <w:t>Recul antérieur</w:t>
      </w:r>
    </w:p>
    <w:p w14:paraId="3E385BE6" w14:textId="77777777" w:rsidR="00FA4EB7" w:rsidRDefault="00FA4EB7" w:rsidP="00FA4EB7">
      <w:pPr>
        <w:ind w:left="720"/>
      </w:pPr>
      <w:r>
        <w:t>Les nouvelles constructions principales ne doivent pas respecter de recul antérieur minimum par rapport à l’alignement de la voirie sous condition que la construction principale à ériger n’entrave pas la visibilité des usagers de la voie publique.</w:t>
      </w:r>
    </w:p>
    <w:p w14:paraId="132A5442" w14:textId="50F43502" w:rsidR="00FA4EB7" w:rsidRDefault="00FA4EB7" w:rsidP="00FA4EB7">
      <w:pPr>
        <w:pStyle w:val="ListParagraph"/>
        <w:numPr>
          <w:ilvl w:val="0"/>
          <w:numId w:val="8"/>
        </w:numPr>
      </w:pPr>
      <w:r>
        <w:t>Recul latéral</w:t>
      </w:r>
    </w:p>
    <w:p w14:paraId="59EF2950" w14:textId="77777777" w:rsidR="00FA4EB7" w:rsidRDefault="00FA4EB7" w:rsidP="00FA4EB7">
      <w:pPr>
        <w:ind w:left="720"/>
      </w:pPr>
      <w:r>
        <w:t>Le recul de toute nouvelle construction par rapport à la limite latérale de propriété est soit nul, soit égal ou supérieur à 3 mètres.</w:t>
      </w:r>
    </w:p>
    <w:p w14:paraId="4710CAE3" w14:textId="18BD6A12" w:rsidR="00FA4EB7" w:rsidRDefault="00FA4EB7" w:rsidP="00FA4EB7">
      <w:pPr>
        <w:pStyle w:val="ListParagraph"/>
        <w:numPr>
          <w:ilvl w:val="0"/>
          <w:numId w:val="8"/>
        </w:numPr>
      </w:pPr>
      <w:r>
        <w:t>Recul postérieur</w:t>
      </w:r>
    </w:p>
    <w:p w14:paraId="38FDEE07" w14:textId="580D5A60" w:rsidR="006605E2" w:rsidRDefault="00FA4EB7" w:rsidP="00FA4EB7">
      <w:pPr>
        <w:ind w:left="720"/>
      </w:pPr>
      <w:r>
        <w:lastRenderedPageBreak/>
        <w:t>Le recul minimum de toute nouvelle construction par rapport à la limite postérieure de propriété est soit nul, soit égal ou supérieur à 3 mètres.</w:t>
      </w:r>
    </w:p>
    <w:p w14:paraId="216FD5D1" w14:textId="2D2FEE73" w:rsidR="00FA4EB7" w:rsidRDefault="00FA4EB7" w:rsidP="00FA4EB7">
      <w:pPr>
        <w:pStyle w:val="ListParagraph"/>
        <w:numPr>
          <w:ilvl w:val="0"/>
          <w:numId w:val="8"/>
        </w:numPr>
      </w:pPr>
      <w:r>
        <w:t>Plusieurs constructions principales sur une même parcelle</w:t>
      </w:r>
    </w:p>
    <w:p w14:paraId="5A6A8652" w14:textId="77777777" w:rsidR="00FA4EB7" w:rsidRDefault="00FA4EB7" w:rsidP="00FA4EB7">
      <w:pPr>
        <w:ind w:left="720"/>
      </w:pPr>
      <w:r>
        <w:t>L’implantation de plusieurs constructions principales sur une même parcelle est autorisée pour autant qu’un accès carrossable imprenable permettant l’accès des véhicules d’intervention urgente aux diverses constructions soit assuré.</w:t>
      </w:r>
    </w:p>
    <w:p w14:paraId="43AFD7FF" w14:textId="77777777" w:rsidR="00FA4EB7" w:rsidRDefault="00FA4EB7" w:rsidP="00FA4EB7">
      <w:pPr>
        <w:pStyle w:val="Heading1"/>
      </w:pPr>
      <w:r>
        <w:t>Art. 22 Gabarit des constructions principales</w:t>
      </w:r>
    </w:p>
    <w:p w14:paraId="4BFE342B" w14:textId="4746B221" w:rsidR="00FA4EB7" w:rsidRDefault="00FA4EB7" w:rsidP="00FA4EB7">
      <w:pPr>
        <w:pStyle w:val="ListParagraph"/>
        <w:numPr>
          <w:ilvl w:val="0"/>
          <w:numId w:val="9"/>
        </w:numPr>
      </w:pPr>
      <w:r>
        <w:t>Niveaux</w:t>
      </w:r>
    </w:p>
    <w:p w14:paraId="722429FD" w14:textId="77777777" w:rsidR="00FA4EB7" w:rsidRDefault="00FA4EB7" w:rsidP="00FA4EB7">
      <w:pPr>
        <w:ind w:left="720"/>
      </w:pPr>
      <w:r>
        <w:t>Le nombre de niveaux n’est pas réglementé.</w:t>
      </w:r>
    </w:p>
    <w:p w14:paraId="706BBCFA" w14:textId="050716A3" w:rsidR="00FA4EB7" w:rsidRDefault="00FA4EB7" w:rsidP="00FA4EB7">
      <w:pPr>
        <w:pStyle w:val="ListParagraph"/>
        <w:numPr>
          <w:ilvl w:val="0"/>
          <w:numId w:val="9"/>
        </w:numPr>
      </w:pPr>
      <w:r>
        <w:t>Hauteur</w:t>
      </w:r>
    </w:p>
    <w:p w14:paraId="703DBC94" w14:textId="77777777" w:rsidR="00FA4EB7" w:rsidRDefault="00FA4EB7" w:rsidP="00FA4EB7">
      <w:pPr>
        <w:ind w:left="720"/>
      </w:pPr>
      <w:r>
        <w:t>La hauteur des constructions principales ne peut dépasser une hauteur hors tout de 14 mètres. Le bourgmestre peut accorder une dérogation à cette hauteur maximale si des raisons techniques dûment justifiées l’exigent (tel que pour un château d’eau par exemple).</w:t>
      </w:r>
    </w:p>
    <w:p w14:paraId="0B785A0D" w14:textId="77777777" w:rsidR="00FA4EB7" w:rsidRDefault="00FA4EB7" w:rsidP="00FA4EB7">
      <w:pPr>
        <w:pStyle w:val="Heading1"/>
      </w:pPr>
      <w:r>
        <w:t>Art. 23 Forme des toitures, ouvertures en toiture</w:t>
      </w:r>
    </w:p>
    <w:p w14:paraId="232367EF" w14:textId="77777777" w:rsidR="00FA4EB7" w:rsidRDefault="00FA4EB7" w:rsidP="00FA4EB7">
      <w:r>
        <w:t>Toutes formes de toitures et ouvertures en toiture sont autorisées.</w:t>
      </w:r>
    </w:p>
    <w:p w14:paraId="2057130B" w14:textId="77777777" w:rsidR="00FA4EB7" w:rsidRPr="00FA4EB7" w:rsidRDefault="00FA4EB7" w:rsidP="00FA4EB7">
      <w:pPr>
        <w:pStyle w:val="Heading1"/>
      </w:pPr>
      <w:r w:rsidRPr="00FA4EB7">
        <w:t>Art. 24 Scellement du sol</w:t>
      </w:r>
    </w:p>
    <w:p w14:paraId="135107AB" w14:textId="478250F5" w:rsidR="00FA4EB7" w:rsidRPr="007D461A" w:rsidRDefault="00FA4EB7" w:rsidP="00FA4EB7">
      <w:r>
        <w:t>Le coefficient de scellement du sol ne peut être supérieur à 0,80.</w:t>
      </w:r>
    </w:p>
    <w:sectPr w:rsidR="00FA4EB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C3F04"/>
    <w:multiLevelType w:val="hybridMultilevel"/>
    <w:tmpl w:val="27AA2C72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C060E"/>
    <w:multiLevelType w:val="hybridMultilevel"/>
    <w:tmpl w:val="E9108A54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B0DA7"/>
    <w:multiLevelType w:val="hybridMultilevel"/>
    <w:tmpl w:val="A2B6CF6C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A41A8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A4EB7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2022-11-04T08:29:00Z</dcterms:modified>
</cp:coreProperties>
</file>