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CF389" w14:textId="77777777" w:rsidR="009E14B9" w:rsidRPr="009E14B9" w:rsidRDefault="009E14B9" w:rsidP="009E14B9">
      <w:pPr>
        <w:pStyle w:val="Heading1"/>
        <w:rPr>
          <w:lang w:val="fr-FR"/>
        </w:rPr>
      </w:pPr>
      <w:r w:rsidRPr="009E14B9">
        <w:rPr>
          <w:lang w:val="fr-FR"/>
        </w:rPr>
        <w:t>Art. 9 Emplacements de stationnement</w:t>
      </w:r>
    </w:p>
    <w:p w14:paraId="38FDEE07" w14:textId="5216914E" w:rsidR="006605E2" w:rsidRDefault="009E14B9" w:rsidP="009E14B9">
      <w:pPr>
        <w:rPr>
          <w:lang w:val="fr-FR"/>
        </w:rPr>
      </w:pPr>
      <w:r w:rsidRPr="009E14B9">
        <w:rPr>
          <w:lang w:val="fr-FR"/>
        </w:rPr>
        <w:t>Le nombre minimum d’emplacements de stationnement privé pour automobiles est déterminé ci-après pour toute réalisation d’une construction, toute augmentation de la surface construite brute* supérieur à 25 m</w:t>
      </w:r>
      <w:r w:rsidRPr="009E14B9">
        <w:rPr>
          <w:vertAlign w:val="superscript"/>
          <w:lang w:val="fr-FR"/>
        </w:rPr>
        <w:t>2</w:t>
      </w:r>
      <w:r w:rsidRPr="009E14B9">
        <w:rPr>
          <w:lang w:val="fr-FR"/>
        </w:rPr>
        <w:t>, toute augmentation du nombre de logements, ainsi que pour tout changement d’affectation d’une construction.</w:t>
      </w:r>
    </w:p>
    <w:tbl>
      <w:tblPr>
        <w:tblStyle w:val="TableGrid"/>
        <w:tblW w:w="8500" w:type="dxa"/>
        <w:jc w:val="center"/>
        <w:tblLook w:val="04A0" w:firstRow="1" w:lastRow="0" w:firstColumn="1" w:lastColumn="0" w:noHBand="0" w:noVBand="1"/>
      </w:tblPr>
      <w:tblGrid>
        <w:gridCol w:w="3544"/>
        <w:gridCol w:w="4956"/>
      </w:tblGrid>
      <w:tr w:rsidR="009E14B9" w:rsidRPr="009E14B9" w14:paraId="46B81BB9" w14:textId="77777777" w:rsidTr="009E14B9">
        <w:trPr>
          <w:trHeight w:val="368"/>
          <w:jc w:val="center"/>
        </w:trPr>
        <w:tc>
          <w:tcPr>
            <w:tcW w:w="3544" w:type="dxa"/>
            <w:vAlign w:val="center"/>
          </w:tcPr>
          <w:p w14:paraId="500EF990" w14:textId="77777777" w:rsidR="009E14B9" w:rsidRPr="009E14B9" w:rsidRDefault="009E14B9" w:rsidP="009E14B9">
            <w:pPr>
              <w:pStyle w:val="NormalTableau"/>
              <w:jc w:val="left"/>
            </w:pPr>
            <w:r w:rsidRPr="009E14B9">
              <w:t>Maison unifamiliale</w:t>
            </w:r>
          </w:p>
        </w:tc>
        <w:tc>
          <w:tcPr>
            <w:tcW w:w="4956" w:type="dxa"/>
            <w:vAlign w:val="center"/>
          </w:tcPr>
          <w:p w14:paraId="6988F8A7" w14:textId="77777777" w:rsidR="009E14B9" w:rsidRPr="009E14B9" w:rsidRDefault="009E14B9" w:rsidP="009E14B9">
            <w:pPr>
              <w:pStyle w:val="NormalTableau"/>
              <w:jc w:val="left"/>
            </w:pPr>
            <w:r w:rsidRPr="009E14B9">
              <w:t>2 places par unité de logement</w:t>
            </w:r>
          </w:p>
        </w:tc>
      </w:tr>
      <w:tr w:rsidR="009E14B9" w:rsidRPr="009E14B9" w14:paraId="6B2BE570" w14:textId="77777777" w:rsidTr="009E14B9">
        <w:trPr>
          <w:trHeight w:val="368"/>
          <w:jc w:val="center"/>
        </w:trPr>
        <w:tc>
          <w:tcPr>
            <w:tcW w:w="3544" w:type="dxa"/>
            <w:vAlign w:val="center"/>
          </w:tcPr>
          <w:p w14:paraId="200C681E" w14:textId="46DCF328" w:rsidR="009E14B9" w:rsidRPr="009E14B9" w:rsidRDefault="009E14B9" w:rsidP="009E14B9">
            <w:pPr>
              <w:pStyle w:val="NormalTableau"/>
              <w:jc w:val="left"/>
            </w:pPr>
            <w:r w:rsidRPr="009E14B9">
              <w:t>Maison bifamiliale ou plurifamiliale</w:t>
            </w:r>
          </w:p>
        </w:tc>
        <w:tc>
          <w:tcPr>
            <w:tcW w:w="4956" w:type="dxa"/>
            <w:vAlign w:val="center"/>
          </w:tcPr>
          <w:p w14:paraId="17030D8F" w14:textId="77777777" w:rsidR="009E14B9" w:rsidRPr="009E14B9" w:rsidRDefault="009E14B9" w:rsidP="009E14B9">
            <w:pPr>
              <w:pStyle w:val="NormalTableau"/>
              <w:jc w:val="left"/>
            </w:pPr>
            <w:r w:rsidRPr="009E14B9">
              <w:t>1,5 place par unité de logement</w:t>
            </w:r>
          </w:p>
        </w:tc>
      </w:tr>
      <w:tr w:rsidR="009E14B9" w:rsidRPr="009E14B9" w14:paraId="39599568" w14:textId="77777777" w:rsidTr="009E14B9">
        <w:trPr>
          <w:trHeight w:val="368"/>
          <w:jc w:val="center"/>
        </w:trPr>
        <w:tc>
          <w:tcPr>
            <w:tcW w:w="3544" w:type="dxa"/>
            <w:vAlign w:val="center"/>
          </w:tcPr>
          <w:p w14:paraId="0E0DE643" w14:textId="0713A73B" w:rsidR="009E14B9" w:rsidRPr="009E14B9" w:rsidRDefault="009E14B9" w:rsidP="009E14B9">
            <w:pPr>
              <w:pStyle w:val="NormalTableau"/>
              <w:jc w:val="left"/>
            </w:pPr>
            <w:r w:rsidRPr="009E14B9">
              <w:t>Logement intégré</w:t>
            </w:r>
            <w:r w:rsidR="00B156E7">
              <w:t>, logement abordable (répondant à la définition de la loi modifiée du 30 juillet 2021 relative au Pacte logement avec les communes en vue d’augmenter l’offre de logements abordables et durables.)</w:t>
            </w:r>
          </w:p>
        </w:tc>
        <w:tc>
          <w:tcPr>
            <w:tcW w:w="4956" w:type="dxa"/>
            <w:vAlign w:val="center"/>
          </w:tcPr>
          <w:p w14:paraId="46475375" w14:textId="77777777" w:rsidR="009E14B9" w:rsidRPr="009E14B9" w:rsidRDefault="009E14B9" w:rsidP="009E14B9">
            <w:pPr>
              <w:pStyle w:val="NormalTableau"/>
              <w:jc w:val="left"/>
            </w:pPr>
            <w:r w:rsidRPr="009E14B9">
              <w:t>1 place par unité de logement</w:t>
            </w:r>
          </w:p>
        </w:tc>
      </w:tr>
      <w:tr w:rsidR="009E14B9" w:rsidRPr="009E14B9" w14:paraId="4EC01AF7" w14:textId="77777777" w:rsidTr="009E14B9">
        <w:trPr>
          <w:trHeight w:val="709"/>
          <w:jc w:val="center"/>
        </w:trPr>
        <w:tc>
          <w:tcPr>
            <w:tcW w:w="3544" w:type="dxa"/>
            <w:vAlign w:val="center"/>
          </w:tcPr>
          <w:p w14:paraId="3CC591D2" w14:textId="77777777" w:rsidR="009E14B9" w:rsidRPr="009E14B9" w:rsidRDefault="009E14B9" w:rsidP="009E14B9">
            <w:pPr>
              <w:pStyle w:val="NormalTableau"/>
              <w:jc w:val="left"/>
            </w:pPr>
            <w:r w:rsidRPr="009E14B9">
              <w:t>Bureaux, administrations, commerces, cafés, restaurants, bars ou établissements similaires</w:t>
            </w:r>
          </w:p>
        </w:tc>
        <w:tc>
          <w:tcPr>
            <w:tcW w:w="4956" w:type="dxa"/>
            <w:vAlign w:val="center"/>
          </w:tcPr>
          <w:p w14:paraId="0277F35E" w14:textId="77777777" w:rsidR="009E14B9" w:rsidRPr="009E14B9" w:rsidRDefault="009E14B9" w:rsidP="009E14B9">
            <w:pPr>
              <w:pStyle w:val="NormalTableau"/>
              <w:jc w:val="left"/>
            </w:pPr>
            <w:r w:rsidRPr="009E14B9">
              <w:t>1 place par tranche de 50 m</w:t>
            </w:r>
            <w:r w:rsidRPr="009E14B9">
              <w:rPr>
                <w:vertAlign w:val="superscript"/>
              </w:rPr>
              <w:t>2</w:t>
            </w:r>
            <w:r w:rsidRPr="009E14B9">
              <w:t xml:space="preserve"> de surface construite brute*</w:t>
            </w:r>
          </w:p>
        </w:tc>
      </w:tr>
      <w:tr w:rsidR="009E14B9" w:rsidRPr="009E14B9" w14:paraId="6B604300" w14:textId="77777777" w:rsidTr="009E14B9">
        <w:trPr>
          <w:trHeight w:val="550"/>
          <w:jc w:val="center"/>
        </w:trPr>
        <w:tc>
          <w:tcPr>
            <w:tcW w:w="3544" w:type="dxa"/>
            <w:vAlign w:val="center"/>
          </w:tcPr>
          <w:p w14:paraId="3AD749F4" w14:textId="77777777" w:rsidR="009E14B9" w:rsidRPr="009E14B9" w:rsidRDefault="009E14B9" w:rsidP="009E14B9">
            <w:pPr>
              <w:pStyle w:val="NormalTableau"/>
              <w:jc w:val="left"/>
            </w:pPr>
            <w:r w:rsidRPr="009E14B9">
              <w:t>Crèches</w:t>
            </w:r>
          </w:p>
        </w:tc>
        <w:tc>
          <w:tcPr>
            <w:tcW w:w="4956" w:type="dxa"/>
            <w:vAlign w:val="center"/>
          </w:tcPr>
          <w:p w14:paraId="703CE669" w14:textId="77777777" w:rsidR="009E14B9" w:rsidRPr="009E14B9" w:rsidRDefault="009E14B9" w:rsidP="009E14B9">
            <w:pPr>
              <w:pStyle w:val="NormalTableau"/>
              <w:jc w:val="left"/>
            </w:pPr>
            <w:r w:rsidRPr="009E14B9">
              <w:t>1 place par 90 m2 de surface construite brute*, et 2 places en « dépose-minute »</w:t>
            </w:r>
          </w:p>
        </w:tc>
      </w:tr>
      <w:tr w:rsidR="009E14B9" w:rsidRPr="009E14B9" w14:paraId="4791CD3A" w14:textId="77777777" w:rsidTr="009E14B9">
        <w:trPr>
          <w:trHeight w:val="550"/>
          <w:jc w:val="center"/>
        </w:trPr>
        <w:tc>
          <w:tcPr>
            <w:tcW w:w="3544" w:type="dxa"/>
            <w:vAlign w:val="center"/>
          </w:tcPr>
          <w:p w14:paraId="66F756C0" w14:textId="77777777" w:rsidR="009E14B9" w:rsidRPr="009E14B9" w:rsidRDefault="009E14B9" w:rsidP="009E14B9">
            <w:pPr>
              <w:pStyle w:val="NormalTableau"/>
              <w:jc w:val="left"/>
            </w:pPr>
            <w:r w:rsidRPr="009E14B9">
              <w:t>Établissements industriels ou artisanaux</w:t>
            </w:r>
          </w:p>
        </w:tc>
        <w:tc>
          <w:tcPr>
            <w:tcW w:w="4956" w:type="dxa"/>
            <w:vAlign w:val="center"/>
          </w:tcPr>
          <w:p w14:paraId="39C7F86A" w14:textId="77777777" w:rsidR="009E14B9" w:rsidRPr="009E14B9" w:rsidRDefault="009E14B9" w:rsidP="009E14B9">
            <w:pPr>
              <w:pStyle w:val="NormalTableau"/>
              <w:jc w:val="left"/>
            </w:pPr>
            <w:r w:rsidRPr="009E14B9">
              <w:t>1 place par tranche de 100 m</w:t>
            </w:r>
            <w:r w:rsidRPr="009E14B9">
              <w:rPr>
                <w:vertAlign w:val="superscript"/>
              </w:rPr>
              <w:t>2</w:t>
            </w:r>
            <w:r w:rsidRPr="009E14B9">
              <w:t xml:space="preserve"> de surface construite brute*</w:t>
            </w:r>
          </w:p>
        </w:tc>
      </w:tr>
      <w:tr w:rsidR="009E14B9" w:rsidRPr="009E14B9" w14:paraId="54C28E61" w14:textId="77777777" w:rsidTr="009E14B9">
        <w:trPr>
          <w:trHeight w:val="550"/>
          <w:jc w:val="center"/>
        </w:trPr>
        <w:tc>
          <w:tcPr>
            <w:tcW w:w="3544" w:type="dxa"/>
            <w:vAlign w:val="center"/>
          </w:tcPr>
          <w:p w14:paraId="3F7B184A" w14:textId="77777777" w:rsidR="009E14B9" w:rsidRPr="009E14B9" w:rsidRDefault="009E14B9" w:rsidP="009E14B9">
            <w:pPr>
              <w:pStyle w:val="NormalTableau"/>
              <w:jc w:val="left"/>
            </w:pPr>
            <w:r w:rsidRPr="009E14B9">
              <w:t>Stations-services avec shops, garages, ateliers de réparation</w:t>
            </w:r>
          </w:p>
        </w:tc>
        <w:tc>
          <w:tcPr>
            <w:tcW w:w="4956" w:type="dxa"/>
            <w:vAlign w:val="center"/>
          </w:tcPr>
          <w:p w14:paraId="21F52614" w14:textId="11F94DF0" w:rsidR="009E14B9" w:rsidRPr="009E14B9" w:rsidRDefault="009E14B9" w:rsidP="009E14B9">
            <w:pPr>
              <w:pStyle w:val="NormalTableau"/>
              <w:jc w:val="left"/>
            </w:pPr>
            <w:r w:rsidRPr="009E14B9">
              <w:t>1 place par tranche de 25 m</w:t>
            </w:r>
            <w:r w:rsidRPr="009E14B9">
              <w:rPr>
                <w:vertAlign w:val="superscript"/>
              </w:rPr>
              <w:t>2</w:t>
            </w:r>
            <w:r w:rsidRPr="009E14B9">
              <w:t xml:space="preserve"> de surface construite brute*,</w:t>
            </w:r>
            <w:r>
              <w:t xml:space="preserve"> </w:t>
            </w:r>
            <w:r w:rsidRPr="009E14B9">
              <w:t>avec un minimum de 3 places</w:t>
            </w:r>
          </w:p>
        </w:tc>
      </w:tr>
    </w:tbl>
    <w:p w14:paraId="46D14FD4" w14:textId="65AD7E99" w:rsidR="009E14B9" w:rsidRDefault="009E14B9" w:rsidP="009E14B9">
      <w:pPr>
        <w:rPr>
          <w:lang w:val="fr-FR"/>
        </w:rPr>
      </w:pPr>
    </w:p>
    <w:p w14:paraId="2CFAD677" w14:textId="77777777" w:rsidR="009E14B9" w:rsidRDefault="009E14B9" w:rsidP="009E14B9">
      <w:pPr>
        <w:pStyle w:val="ListParagraph"/>
        <w:numPr>
          <w:ilvl w:val="0"/>
          <w:numId w:val="7"/>
        </w:numPr>
        <w:rPr>
          <w:lang w:val="fr-FR"/>
        </w:rPr>
      </w:pPr>
      <w:r w:rsidRPr="009E14B9">
        <w:rPr>
          <w:lang w:val="fr-FR"/>
        </w:rPr>
        <w:t>Le bourgmestre peut déroger au nombre de places requis dans les cas suivants:</w:t>
      </w:r>
    </w:p>
    <w:p w14:paraId="0FB31F08" w14:textId="77777777" w:rsidR="009E14B9" w:rsidRDefault="009E14B9" w:rsidP="009E14B9">
      <w:pPr>
        <w:pStyle w:val="ListParagraph"/>
        <w:numPr>
          <w:ilvl w:val="0"/>
          <w:numId w:val="8"/>
        </w:numPr>
        <w:rPr>
          <w:lang w:val="fr-FR"/>
        </w:rPr>
      </w:pPr>
      <w:r w:rsidRPr="009E14B9">
        <w:rPr>
          <w:lang w:val="fr-FR"/>
        </w:rPr>
        <w:t>Augmentation de la surface construite brute d’une maison unifamiliale ou bifamiliale, sans augmentation du nombre d’unités de logement;</w:t>
      </w:r>
    </w:p>
    <w:p w14:paraId="4AA97215" w14:textId="77777777" w:rsidR="009E14B9" w:rsidRDefault="009E14B9" w:rsidP="009E14B9">
      <w:pPr>
        <w:pStyle w:val="ListParagraph"/>
        <w:numPr>
          <w:ilvl w:val="0"/>
          <w:numId w:val="8"/>
        </w:numPr>
        <w:rPr>
          <w:lang w:val="fr-FR"/>
        </w:rPr>
      </w:pPr>
      <w:r w:rsidRPr="009E14B9">
        <w:rPr>
          <w:lang w:val="fr-FR"/>
        </w:rPr>
        <w:t>Changement d’affectation d’une construction ayant pour objet la création d’un commerce;</w:t>
      </w:r>
    </w:p>
    <w:p w14:paraId="506B63F8" w14:textId="739EFDAE" w:rsidR="00B156E7" w:rsidRDefault="00B156E7" w:rsidP="009E14B9">
      <w:pPr>
        <w:pStyle w:val="ListParagraph"/>
        <w:numPr>
          <w:ilvl w:val="0"/>
          <w:numId w:val="8"/>
        </w:numPr>
        <w:rPr>
          <w:lang w:val="fr-FR"/>
        </w:rPr>
      </w:pPr>
      <w:r>
        <w:rPr>
          <w:lang w:val="fr-FR"/>
        </w:rPr>
        <w:t>Dans un PAP présentant un concept de mobilité durable;</w:t>
      </w:r>
    </w:p>
    <w:p w14:paraId="13E2BC42" w14:textId="6A2605FF" w:rsidR="009E14B9" w:rsidRPr="009E14B9" w:rsidRDefault="009E14B9" w:rsidP="009E14B9">
      <w:pPr>
        <w:pStyle w:val="ListParagraph"/>
        <w:numPr>
          <w:ilvl w:val="0"/>
          <w:numId w:val="8"/>
        </w:numPr>
        <w:rPr>
          <w:lang w:val="fr-FR"/>
        </w:rPr>
      </w:pPr>
      <w:r w:rsidRPr="009E14B9">
        <w:rPr>
          <w:lang w:val="fr-FR"/>
        </w:rPr>
        <w:t xml:space="preserve">Pour les deux places en </w:t>
      </w:r>
      <w:r>
        <w:rPr>
          <w:lang w:val="fr-FR"/>
        </w:rPr>
        <w:t>« </w:t>
      </w:r>
      <w:r w:rsidRPr="009E14B9">
        <w:rPr>
          <w:lang w:val="fr-FR"/>
        </w:rPr>
        <w:t>dépose-minute</w:t>
      </w:r>
      <w:r>
        <w:rPr>
          <w:lang w:val="fr-FR"/>
        </w:rPr>
        <w:t> »</w:t>
      </w:r>
      <w:r w:rsidRPr="009E14B9">
        <w:rPr>
          <w:lang w:val="fr-FR"/>
        </w:rPr>
        <w:t xml:space="preserve"> d’une crèche, si des places publiques sont situées à moins de 200 mètres de la construction.</w:t>
      </w:r>
    </w:p>
    <w:p w14:paraId="7C5CDB36" w14:textId="3BFE01D8" w:rsidR="009E14B9" w:rsidRPr="009E14B9" w:rsidRDefault="009E14B9" w:rsidP="009E14B9">
      <w:pPr>
        <w:pStyle w:val="ListParagraph"/>
        <w:numPr>
          <w:ilvl w:val="0"/>
          <w:numId w:val="7"/>
        </w:numPr>
        <w:rPr>
          <w:lang w:val="fr-FR"/>
        </w:rPr>
      </w:pPr>
      <w:r w:rsidRPr="009E14B9">
        <w:rPr>
          <w:lang w:val="fr-FR"/>
        </w:rPr>
        <w:t>Pour le calcul du nombre d’emplacements, les chiffres sont</w:t>
      </w:r>
      <w:r>
        <w:rPr>
          <w:lang w:val="fr-FR"/>
        </w:rPr>
        <w:t xml:space="preserve"> arrondis à l’entier supérieur.</w:t>
      </w:r>
    </w:p>
    <w:p w14:paraId="1152900B" w14:textId="7033F88B" w:rsidR="009E14B9" w:rsidRPr="009E14B9" w:rsidRDefault="009E14B9" w:rsidP="009E14B9">
      <w:pPr>
        <w:pStyle w:val="ListParagraph"/>
        <w:numPr>
          <w:ilvl w:val="0"/>
          <w:numId w:val="7"/>
        </w:numPr>
        <w:rPr>
          <w:lang w:val="fr-FR"/>
        </w:rPr>
      </w:pPr>
      <w:r w:rsidRPr="009E14B9">
        <w:rPr>
          <w:lang w:val="fr-FR"/>
        </w:rPr>
        <w:t>Pour les fonctions ne figurant pas dans le tableau ci-avant, le nombre de places de stationnement est fixé en fonction des besoins spécifiques pour chaque établissement.</w:t>
      </w:r>
    </w:p>
    <w:p w14:paraId="276CBF5A" w14:textId="10C908FF" w:rsidR="009E14B9" w:rsidRPr="009E14B9" w:rsidRDefault="009E14B9" w:rsidP="009E14B9">
      <w:pPr>
        <w:pStyle w:val="ListParagraph"/>
        <w:numPr>
          <w:ilvl w:val="0"/>
          <w:numId w:val="7"/>
        </w:numPr>
        <w:rPr>
          <w:lang w:val="fr-FR"/>
        </w:rPr>
      </w:pPr>
      <w:r w:rsidRPr="009E14B9">
        <w:rPr>
          <w:lang w:val="fr-FR"/>
        </w:rPr>
        <w:t>Dans le cas d’un regroupement de plusieurs établissements sur un même site, l’estimation des besoins en emplacements tiendra compte des heures de fréquentation de chaque établissement afin de mutualiser les emplacements.</w:t>
      </w:r>
    </w:p>
    <w:p w14:paraId="4BDEA699" w14:textId="64127486" w:rsidR="009E14B9" w:rsidRPr="009E14B9" w:rsidRDefault="009E14B9" w:rsidP="00C624B2">
      <w:pPr>
        <w:pStyle w:val="ListParagraph"/>
        <w:numPr>
          <w:ilvl w:val="0"/>
          <w:numId w:val="7"/>
        </w:numPr>
        <w:rPr>
          <w:lang w:val="fr-FR"/>
        </w:rPr>
      </w:pPr>
      <w:r w:rsidRPr="009E14B9">
        <w:rPr>
          <w:lang w:val="fr-FR"/>
        </w:rPr>
        <w:t>Lorsque le propriétaire est dans l’impossibilité d’aménager, en situation appropriée, tout ou partie des places requises, il peut s’exonérer totalement ou partiellement de cette obligation, moyennant versement d’une contribution compensatoire en application du règlement « taxe » communal.</w:t>
      </w:r>
    </w:p>
    <w:sectPr w:rsidR="009E14B9" w:rsidRPr="009E14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A95986"/>
    <w:multiLevelType w:val="hybridMultilevel"/>
    <w:tmpl w:val="175EE2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F74C2A"/>
    <w:multiLevelType w:val="hybridMultilevel"/>
    <w:tmpl w:val="664853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870990016">
    <w:abstractNumId w:val="4"/>
  </w:num>
  <w:num w:numId="2" w16cid:durableId="705133329">
    <w:abstractNumId w:val="5"/>
  </w:num>
  <w:num w:numId="3" w16cid:durableId="2022929892">
    <w:abstractNumId w:val="6"/>
  </w:num>
  <w:num w:numId="4" w16cid:durableId="2047099973">
    <w:abstractNumId w:val="0"/>
  </w:num>
  <w:num w:numId="5" w16cid:durableId="1088843959">
    <w:abstractNumId w:val="1"/>
  </w:num>
  <w:num w:numId="6" w16cid:durableId="275333258">
    <w:abstractNumId w:val="3"/>
  </w:num>
  <w:num w:numId="7" w16cid:durableId="538401768">
    <w:abstractNumId w:val="2"/>
  </w:num>
  <w:num w:numId="8" w16cid:durableId="1278692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9E14B9"/>
    <w:rsid w:val="00A610F9"/>
    <w:rsid w:val="00AD5B20"/>
    <w:rsid w:val="00B11E93"/>
    <w:rsid w:val="00B156E7"/>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9E14B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2025-02-03T07:34:00Z</dcterms:modified>
</cp:coreProperties>
</file>