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046D3" w14:textId="32B7B7BC" w:rsidR="00563F22" w:rsidRPr="00563F22" w:rsidRDefault="00563F22" w:rsidP="00563F22">
      <w:pPr>
        <w:pStyle w:val="Heading1"/>
        <w:rPr>
          <w:lang w:val="fr-FR"/>
        </w:rPr>
      </w:pPr>
      <w:r>
        <w:rPr>
          <w:lang w:val="fr-FR"/>
        </w:rPr>
        <w:t xml:space="preserve">Art. 14 </w:t>
      </w:r>
      <w:r w:rsidRPr="00563F22">
        <w:rPr>
          <w:lang w:val="fr-FR"/>
        </w:rPr>
        <w:t>Emplacements de stationnement</w:t>
      </w:r>
    </w:p>
    <w:p w14:paraId="3D19D1E3" w14:textId="77777777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Pour toute création de logement, il y a lieu de créer les emplacements de stationnement suivant les dispositions du présent règlement.</w:t>
      </w:r>
    </w:p>
    <w:p w14:paraId="2295C503" w14:textId="09E413AC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Le nombre minimal d’emplacements, garages et car-ports de stationneme</w:t>
      </w:r>
      <w:r>
        <w:rPr>
          <w:lang w:val="fr-FR"/>
        </w:rPr>
        <w:t>nt requis est défini comme suit</w:t>
      </w:r>
      <w:r w:rsidRPr="00563F22">
        <w:rPr>
          <w:lang w:val="fr-FR"/>
        </w:rPr>
        <w:t>:</w:t>
      </w:r>
    </w:p>
    <w:p w14:paraId="3E500288" w14:textId="77777777" w:rsidR="00563F22" w:rsidRDefault="00563F22" w:rsidP="00563F22">
      <w:pPr>
        <w:rPr>
          <w:u w:val="single"/>
          <w:lang w:val="fr-FR"/>
        </w:rPr>
      </w:pPr>
      <w:r w:rsidRPr="00563F22">
        <w:rPr>
          <w:u w:val="single"/>
          <w:lang w:val="fr-FR"/>
        </w:rPr>
        <w:t>Pour les maisons unifamiliales</w:t>
      </w:r>
      <w:r>
        <w:rPr>
          <w:u w:val="single"/>
          <w:lang w:val="fr-FR"/>
        </w:rPr>
        <w:t>:</w:t>
      </w:r>
    </w:p>
    <w:p w14:paraId="1614192D" w14:textId="3F42C7C6" w:rsidR="00677965" w:rsidRPr="00677965" w:rsidRDefault="00563F22" w:rsidP="00563F22">
      <w:pPr>
        <w:pStyle w:val="ListParagraph"/>
        <w:numPr>
          <w:ilvl w:val="0"/>
          <w:numId w:val="8"/>
        </w:numPr>
        <w:rPr>
          <w:u w:val="single"/>
          <w:lang w:val="fr-FR"/>
        </w:rPr>
      </w:pPr>
      <w:r w:rsidRPr="00563F22">
        <w:rPr>
          <w:lang w:val="fr-FR"/>
        </w:rPr>
        <w:t>2 emplacements minimum,</w:t>
      </w:r>
      <w:r w:rsidR="00677965">
        <w:rPr>
          <w:lang w:val="fr-FR"/>
        </w:rPr>
        <w:t xml:space="preserve"> dont au moins 1 emplacement</w:t>
      </w:r>
      <w:r w:rsidRPr="00563F22">
        <w:rPr>
          <w:lang w:val="fr-FR"/>
        </w:rPr>
        <w:t xml:space="preserve"> à l’intérieur de l’immeuble, </w:t>
      </w:r>
      <w:r w:rsidR="00677965">
        <w:rPr>
          <w:lang w:val="fr-FR"/>
        </w:rPr>
        <w:t>ou dans un garage extérieur. Le deuxième emplacement peut être aménagé dans un garage, un car-port, ou à ciel ouvert dans un recul latéral ou devant le garage ou le car-port. Deux emplacements au maximum sont autorisés dans le recul avant.</w:t>
      </w:r>
    </w:p>
    <w:p w14:paraId="4F5BE52B" w14:textId="77777777" w:rsidR="00563F22" w:rsidRDefault="00563F22" w:rsidP="00563F22">
      <w:pPr>
        <w:rPr>
          <w:u w:val="single"/>
          <w:lang w:val="fr-FR"/>
        </w:rPr>
      </w:pPr>
      <w:r w:rsidRPr="00563F22">
        <w:rPr>
          <w:u w:val="single"/>
          <w:lang w:val="fr-FR"/>
        </w:rPr>
        <w:t>Pour les maisons plurifamiliales</w:t>
      </w:r>
      <w:r>
        <w:rPr>
          <w:u w:val="single"/>
          <w:lang w:val="fr-FR"/>
        </w:rPr>
        <w:t>:</w:t>
      </w:r>
    </w:p>
    <w:p w14:paraId="0BD551D2" w14:textId="11B0976C" w:rsidR="00563F22" w:rsidRPr="00563F22" w:rsidRDefault="00563F22" w:rsidP="00563F22">
      <w:pPr>
        <w:pStyle w:val="ListParagraph"/>
        <w:numPr>
          <w:ilvl w:val="0"/>
          <w:numId w:val="8"/>
        </w:numPr>
        <w:rPr>
          <w:u w:val="single"/>
          <w:lang w:val="fr-FR"/>
        </w:rPr>
      </w:pPr>
      <w:r w:rsidRPr="00563F22">
        <w:rPr>
          <w:lang w:val="fr-FR"/>
        </w:rPr>
        <w:t>1 emplacement par studio et par logement à 1 chambre à coucher;</w:t>
      </w:r>
    </w:p>
    <w:p w14:paraId="51F271F0" w14:textId="324F6075" w:rsidR="00563F22" w:rsidRPr="00563F22" w:rsidRDefault="00563F22" w:rsidP="00563F22">
      <w:pPr>
        <w:pStyle w:val="ListParagraph"/>
        <w:numPr>
          <w:ilvl w:val="0"/>
          <w:numId w:val="8"/>
        </w:numPr>
        <w:rPr>
          <w:u w:val="single"/>
          <w:lang w:val="fr-FR"/>
        </w:rPr>
      </w:pPr>
      <w:r w:rsidRPr="00563F22">
        <w:rPr>
          <w:lang w:val="fr-FR"/>
        </w:rPr>
        <w:t xml:space="preserve">2 emplacements pour les logements à 2 chambres à coucher et plus ou de </w:t>
      </w:r>
      <w:r w:rsidR="00677965">
        <w:rPr>
          <w:lang w:val="fr-FR"/>
        </w:rPr>
        <w:t>80</w:t>
      </w:r>
      <w:r w:rsidRPr="00563F22">
        <w:rPr>
          <w:lang w:val="fr-FR"/>
        </w:rPr>
        <w:t>,0 mètres carrés et plus;</w:t>
      </w:r>
    </w:p>
    <w:p w14:paraId="74AAEECB" w14:textId="466E3F82" w:rsidR="00563F22" w:rsidRPr="00563F22" w:rsidRDefault="00563F22" w:rsidP="00563F22">
      <w:pPr>
        <w:pStyle w:val="ListParagraph"/>
        <w:numPr>
          <w:ilvl w:val="0"/>
          <w:numId w:val="8"/>
        </w:numPr>
        <w:rPr>
          <w:u w:val="single"/>
          <w:lang w:val="fr-FR"/>
        </w:rPr>
      </w:pPr>
      <w:r w:rsidRPr="00563F22">
        <w:rPr>
          <w:lang w:val="fr-FR"/>
        </w:rPr>
        <w:t>Un maximum de 2,5 emplacements par unité de l</w:t>
      </w:r>
      <w:r>
        <w:rPr>
          <w:lang w:val="fr-FR"/>
        </w:rPr>
        <w:t>ogement en moyenne est autorisé</w:t>
      </w:r>
      <w:r w:rsidRPr="00563F22">
        <w:rPr>
          <w:lang w:val="fr-FR"/>
        </w:rPr>
        <w:t>;</w:t>
      </w:r>
    </w:p>
    <w:p w14:paraId="6DD22F43" w14:textId="43E99FF9" w:rsidR="00563F22" w:rsidRPr="00563F22" w:rsidRDefault="00563F22" w:rsidP="00563F22">
      <w:pPr>
        <w:pStyle w:val="ListParagraph"/>
        <w:numPr>
          <w:ilvl w:val="0"/>
          <w:numId w:val="8"/>
        </w:numPr>
        <w:rPr>
          <w:u w:val="single"/>
          <w:lang w:val="fr-FR"/>
        </w:rPr>
      </w:pPr>
      <w:r w:rsidRPr="00563F22">
        <w:rPr>
          <w:lang w:val="fr-FR"/>
        </w:rPr>
        <w:t>Tous les emplacements doivent être aménagés à l’intérieur du bâtiment et de préférence au sous-sol.</w:t>
      </w:r>
    </w:p>
    <w:p w14:paraId="21B500EE" w14:textId="77777777" w:rsidR="00563F22" w:rsidRDefault="00563F22" w:rsidP="00563F22">
      <w:pPr>
        <w:rPr>
          <w:u w:val="single"/>
          <w:lang w:val="fr-FR"/>
        </w:rPr>
      </w:pPr>
      <w:r w:rsidRPr="00563F22">
        <w:rPr>
          <w:u w:val="single"/>
          <w:lang w:val="fr-FR"/>
        </w:rPr>
        <w:t>Pour les autres catégories d’affectation</w:t>
      </w:r>
      <w:r>
        <w:rPr>
          <w:u w:val="single"/>
          <w:lang w:val="fr-FR"/>
        </w:rPr>
        <w:t>:</w:t>
      </w:r>
    </w:p>
    <w:p w14:paraId="3961580D" w14:textId="1D634B54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entamée de 60,0 mètres carrés de surface d’étage pour les bureaux et administrations et services;</w:t>
      </w:r>
    </w:p>
    <w:p w14:paraId="50E86222" w14:textId="68DE2DE0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entamée de 60,0 mètres carrés de surface d’étage pour les commerces, cafés et restaurants;</w:t>
      </w:r>
    </w:p>
    <w:p w14:paraId="0EA139C3" w14:textId="2E92CD48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entamée de 30,0 mètres carrés de surface d’étage pour les commerces et grands ensembles commerciaux de 400,0 mètres carrés et plus;</w:t>
      </w:r>
    </w:p>
    <w:p w14:paraId="1F3861A1" w14:textId="593E43D4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entamée de 100,0 mètres carrés de surface d’étage pour les établisse</w:t>
      </w:r>
      <w:r>
        <w:rPr>
          <w:lang w:val="fr-FR"/>
        </w:rPr>
        <w:t>ments industriels et artisanaux</w:t>
      </w:r>
      <w:r w:rsidRPr="00563F22">
        <w:rPr>
          <w:lang w:val="fr-FR"/>
        </w:rPr>
        <w:t>;</w:t>
      </w:r>
    </w:p>
    <w:p w14:paraId="3DEDF9D8" w14:textId="44BCF136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entamée de 10 places ou sièges pour les salles de réunion, cinémas, théâtres et églises;</w:t>
      </w:r>
    </w:p>
    <w:p w14:paraId="7E22F022" w14:textId="1F7E6C40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de 50,0 mètres carrés de surface d’étage pour les stations de services, les concessions automobiles et les garages de réparation, avec un minimum de 4 places par installation;</w:t>
      </w:r>
    </w:p>
    <w:p w14:paraId="677D8F97" w14:textId="77777777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lastRenderedPageBreak/>
        <w:t>un</w:t>
      </w:r>
      <w:proofErr w:type="gramEnd"/>
      <w:r w:rsidRPr="00563F22">
        <w:rPr>
          <w:lang w:val="fr-FR"/>
        </w:rPr>
        <w:t xml:space="preserve"> emplacement par tranche entamée de 5 chambres pour les constructions d’hébergement collectif et hôtelières et appart-hôtel. L’autorité compétente peut imposer des mesures supplémentaires en matière de stationnement, par ex. aire de bus.</w:t>
      </w:r>
    </w:p>
    <w:p w14:paraId="6285AE68" w14:textId="77777777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proofErr w:type="gramStart"/>
      <w:r w:rsidRPr="00563F22">
        <w:rPr>
          <w:lang w:val="fr-FR"/>
        </w:rPr>
        <w:t>un</w:t>
      </w:r>
      <w:proofErr w:type="gramEnd"/>
      <w:r w:rsidRPr="00563F22">
        <w:rPr>
          <w:lang w:val="fr-FR"/>
        </w:rPr>
        <w:t xml:space="preserve"> emplacement par tranche entamée de 5 chambres pour les CIPA, constructions hospitalières, maison des soins, de gériatrie, foyers pour seniors, internat et logements pour étudiant;</w:t>
      </w:r>
    </w:p>
    <w:p w14:paraId="6C897F5D" w14:textId="24BA43FF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r w:rsidRPr="00563F22">
        <w:rPr>
          <w:lang w:val="fr-FR"/>
        </w:rPr>
        <w:t>1 emplacement par tranche entamée de 5 enfants pour les crèches</w:t>
      </w:r>
      <w:r w:rsidR="00677965">
        <w:rPr>
          <w:lang w:val="fr-FR"/>
        </w:rPr>
        <w:t xml:space="preserve"> et pour les structures d’accueil privées et similaires,</w:t>
      </w:r>
      <w:r w:rsidRPr="00563F22">
        <w:rPr>
          <w:lang w:val="fr-FR"/>
        </w:rPr>
        <w:t xml:space="preserve"> mais au minimum 2 emplacements;</w:t>
      </w:r>
    </w:p>
    <w:p w14:paraId="73B27C2A" w14:textId="77777777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r w:rsidRPr="00563F22">
        <w:rPr>
          <w:lang w:val="fr-FR"/>
        </w:rPr>
        <w:t>Ces emplacements sont à aménager à l’intérieur ou à l’extérieur du bâtiment;</w:t>
      </w:r>
    </w:p>
    <w:p w14:paraId="5B0DA1BE" w14:textId="77777777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r w:rsidRPr="00563F22">
        <w:rPr>
          <w:lang w:val="fr-FR"/>
        </w:rPr>
        <w:t>Les établissements de services, commerciaux, artisanaux et industriels devront en outre prévoir sur leur terrain un nombre suffisant d’emplacements pour leurs véhicules utilitaires;</w:t>
      </w:r>
    </w:p>
    <w:p w14:paraId="15FEFD18" w14:textId="44E3324E" w:rsidR="00563F22" w:rsidRPr="00563F22" w:rsidRDefault="00563F22" w:rsidP="00563F22">
      <w:pPr>
        <w:pStyle w:val="ListParagraph"/>
        <w:numPr>
          <w:ilvl w:val="0"/>
          <w:numId w:val="9"/>
        </w:numPr>
        <w:rPr>
          <w:u w:val="single"/>
          <w:lang w:val="fr-FR"/>
        </w:rPr>
      </w:pPr>
      <w:r w:rsidRPr="00563F22">
        <w:rPr>
          <w:lang w:val="fr-FR"/>
        </w:rPr>
        <w:t>En fonction du type de commerce ou d’entreprise, l’autorité compétente peut demander d’augmenter ou de diminuer le nombre d’emplacements de stationnement, garages ou car-ports.</w:t>
      </w:r>
    </w:p>
    <w:p w14:paraId="72403E09" w14:textId="0AAE83AF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Les e</w:t>
      </w:r>
      <w:r>
        <w:rPr>
          <w:lang w:val="fr-FR"/>
        </w:rPr>
        <w:t>mplacements de stationnement/</w:t>
      </w:r>
      <w:r w:rsidRPr="00563F22">
        <w:rPr>
          <w:lang w:val="fr-FR"/>
        </w:rPr>
        <w:t>garages, ne peuvent en aucun cas servir à des fins d’habitation ou à l’exercice d’une activité professionnelle.</w:t>
      </w:r>
    </w:p>
    <w:p w14:paraId="2598C194" w14:textId="63FE8AA4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Une dérogation pour des projets à caractère social, par exemple: logements sociaux réalisés par un promoteur public, logements d’utilité publique ou autre projet similaire peut être accordée.</w:t>
      </w:r>
    </w:p>
    <w:p w14:paraId="70470A3A" w14:textId="77777777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Dans les PAP nouveaux quartiers une exception relative à l’aménagement des emplacements de stationnement peut être accordée pour la création de stationnement regroupé sur une parcelle différente de celle de l’immeuble concerné.</w:t>
      </w:r>
    </w:p>
    <w:p w14:paraId="70604D80" w14:textId="6BFAC6CF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Pour tout</w:t>
      </w:r>
      <w:r>
        <w:rPr>
          <w:lang w:val="fr-FR"/>
        </w:rPr>
        <w:t>e construction d’emplacements/garages/</w:t>
      </w:r>
      <w:r w:rsidRPr="00563F22">
        <w:rPr>
          <w:lang w:val="fr-FR"/>
        </w:rPr>
        <w:t>car-ports il y a lieu de veiller à une intégration harmonieuse dans le site.</w:t>
      </w:r>
    </w:p>
    <w:p w14:paraId="380E9F0B" w14:textId="0EA9DC5D" w:rsidR="00D44A8A" w:rsidRDefault="00563F22" w:rsidP="00563F22">
      <w:pPr>
        <w:rPr>
          <w:u w:val="single"/>
          <w:lang w:val="fr-FR"/>
        </w:rPr>
      </w:pPr>
      <w:r w:rsidRPr="00563F22">
        <w:rPr>
          <w:u w:val="single"/>
          <w:lang w:val="fr-FR"/>
        </w:rPr>
        <w:t>Emplacement pour vélos selon l'utilisation de l'immeuble</w:t>
      </w:r>
    </w:p>
    <w:tbl>
      <w:tblPr>
        <w:tblW w:w="8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2891"/>
        <w:gridCol w:w="3653"/>
      </w:tblGrid>
      <w:tr w:rsidR="00563F22" w:rsidRPr="00563F22" w14:paraId="499A390F" w14:textId="77777777" w:rsidTr="00563F22">
        <w:tc>
          <w:tcPr>
            <w:tcW w:w="2211" w:type="dxa"/>
            <w:shd w:val="clear" w:color="auto" w:fill="BFBFBF" w:themeFill="background1" w:themeFillShade="BF"/>
            <w:vAlign w:val="center"/>
          </w:tcPr>
          <w:p w14:paraId="3E19FBE4" w14:textId="77777777" w:rsidR="00563F22" w:rsidRPr="00563F22" w:rsidRDefault="00563F22" w:rsidP="00563F22">
            <w:pPr>
              <w:pStyle w:val="NormalTableau"/>
              <w:jc w:val="center"/>
              <w:rPr>
                <w:b/>
                <w:u w:val="single"/>
              </w:rPr>
            </w:pPr>
            <w:r w:rsidRPr="00563F22">
              <w:rPr>
                <w:b/>
                <w:u w:val="single"/>
              </w:rPr>
              <w:t>Utilisation</w:t>
            </w:r>
          </w:p>
        </w:tc>
        <w:tc>
          <w:tcPr>
            <w:tcW w:w="2891" w:type="dxa"/>
            <w:shd w:val="clear" w:color="auto" w:fill="BFBFBF" w:themeFill="background1" w:themeFillShade="BF"/>
            <w:vAlign w:val="center"/>
          </w:tcPr>
          <w:p w14:paraId="05E13518" w14:textId="77777777" w:rsidR="00563F22" w:rsidRPr="00563F22" w:rsidRDefault="00563F22" w:rsidP="00563F22">
            <w:pPr>
              <w:pStyle w:val="NormalTableau"/>
              <w:jc w:val="center"/>
              <w:rPr>
                <w:b/>
                <w:u w:val="single"/>
              </w:rPr>
            </w:pPr>
            <w:r w:rsidRPr="00563F22">
              <w:rPr>
                <w:b/>
                <w:u w:val="single"/>
              </w:rPr>
              <w:t>Nombres minima d’emplacements pour vélos</w:t>
            </w:r>
          </w:p>
        </w:tc>
        <w:tc>
          <w:tcPr>
            <w:tcW w:w="3653" w:type="dxa"/>
            <w:shd w:val="clear" w:color="auto" w:fill="BFBFBF" w:themeFill="background1" w:themeFillShade="BF"/>
            <w:vAlign w:val="center"/>
          </w:tcPr>
          <w:p w14:paraId="2BBE9656" w14:textId="77777777" w:rsidR="00563F22" w:rsidRPr="00563F22" w:rsidRDefault="00563F22" w:rsidP="00563F22">
            <w:pPr>
              <w:pStyle w:val="NormalTableau"/>
              <w:jc w:val="center"/>
              <w:rPr>
                <w:b/>
                <w:u w:val="single"/>
              </w:rPr>
            </w:pPr>
            <w:r w:rsidRPr="00563F22">
              <w:rPr>
                <w:b/>
                <w:u w:val="single"/>
              </w:rPr>
              <w:t>Remarques</w:t>
            </w:r>
          </w:p>
        </w:tc>
      </w:tr>
      <w:tr w:rsidR="00563F22" w:rsidRPr="00563F22" w14:paraId="772D46E0" w14:textId="77777777" w:rsidTr="00D54312">
        <w:tc>
          <w:tcPr>
            <w:tcW w:w="2211" w:type="dxa"/>
            <w:shd w:val="clear" w:color="auto" w:fill="auto"/>
          </w:tcPr>
          <w:p w14:paraId="3C8BC9CB" w14:textId="77777777" w:rsidR="00563F22" w:rsidRPr="00563F22" w:rsidRDefault="00563F22" w:rsidP="00563F22">
            <w:pPr>
              <w:pStyle w:val="NormalTableau"/>
            </w:pPr>
            <w:r w:rsidRPr="00563F22">
              <w:t xml:space="preserve">Maisons d’habitation </w:t>
            </w:r>
          </w:p>
        </w:tc>
        <w:tc>
          <w:tcPr>
            <w:tcW w:w="2891" w:type="dxa"/>
            <w:shd w:val="clear" w:color="auto" w:fill="auto"/>
          </w:tcPr>
          <w:p w14:paraId="59C94650" w14:textId="112020E2" w:rsidR="00563F22" w:rsidRPr="00563F22" w:rsidRDefault="00B64834" w:rsidP="00563F22">
            <w:pPr>
              <w:pStyle w:val="NormalTableau"/>
            </w:pPr>
            <w:r>
              <w:t>2 emplacements par unité de logement</w:t>
            </w:r>
          </w:p>
        </w:tc>
        <w:tc>
          <w:tcPr>
            <w:tcW w:w="3653" w:type="dxa"/>
            <w:shd w:val="clear" w:color="auto" w:fill="auto"/>
          </w:tcPr>
          <w:p w14:paraId="199B558A" w14:textId="77777777" w:rsidR="00563F22" w:rsidRPr="00563F22" w:rsidRDefault="00563F22" w:rsidP="00563F22">
            <w:pPr>
              <w:pStyle w:val="NormalTableau"/>
            </w:pPr>
            <w:r w:rsidRPr="00563F22">
              <w:t>Les maisons unifamiliales, bi-familiales et tri-familiales sont exclues</w:t>
            </w:r>
          </w:p>
        </w:tc>
      </w:tr>
      <w:tr w:rsidR="00563F22" w:rsidRPr="00563F22" w14:paraId="4BAAD1FB" w14:textId="77777777" w:rsidTr="00D54312">
        <w:tc>
          <w:tcPr>
            <w:tcW w:w="2211" w:type="dxa"/>
            <w:shd w:val="clear" w:color="auto" w:fill="auto"/>
          </w:tcPr>
          <w:p w14:paraId="1F0504F9" w14:textId="77777777" w:rsidR="00563F22" w:rsidRPr="00563F22" w:rsidRDefault="00563F22" w:rsidP="00563F22">
            <w:pPr>
              <w:pStyle w:val="NormalTableau"/>
            </w:pPr>
            <w:r w:rsidRPr="00563F22">
              <w:t xml:space="preserve">Immeubles administratifs et activité de services professionnels </w:t>
            </w:r>
          </w:p>
        </w:tc>
        <w:tc>
          <w:tcPr>
            <w:tcW w:w="2891" w:type="dxa"/>
            <w:shd w:val="clear" w:color="auto" w:fill="auto"/>
          </w:tcPr>
          <w:p w14:paraId="1E9C9934" w14:textId="7CEE35F2" w:rsidR="00563F22" w:rsidRPr="00563F22" w:rsidRDefault="00B64834" w:rsidP="00B64834">
            <w:pPr>
              <w:pStyle w:val="NormalTableau"/>
            </w:pPr>
            <w:r>
              <w:t>1 emplacement</w:t>
            </w:r>
            <w:r w:rsidR="00563F22" w:rsidRPr="00563F22">
              <w:t xml:space="preserve"> par tranche de 500 m² de surface construite brute + supplément d’un empl</w:t>
            </w:r>
            <w:r>
              <w:t>acement</w:t>
            </w:r>
            <w:r w:rsidR="00563F22" w:rsidRPr="00563F22">
              <w:t xml:space="preserve"> par 70 m² de surface construite brute pour les activités générant un taux de visiteurs élevé</w:t>
            </w:r>
          </w:p>
        </w:tc>
        <w:tc>
          <w:tcPr>
            <w:tcW w:w="3653" w:type="dxa"/>
            <w:shd w:val="clear" w:color="auto" w:fill="auto"/>
          </w:tcPr>
          <w:p w14:paraId="78AE2412" w14:textId="77777777" w:rsidR="00563F22" w:rsidRPr="00563F22" w:rsidRDefault="00563F22" w:rsidP="00563F22">
            <w:pPr>
              <w:pStyle w:val="NormalTableau"/>
            </w:pPr>
            <w:r w:rsidRPr="00563F22">
              <w:t>Les emplacements supplémentaires doivent être accessibles au public. Une zone de réserve pour l’aménagement ultérieure d’emplacements supplémentaires est à prévoir.</w:t>
            </w:r>
          </w:p>
        </w:tc>
      </w:tr>
      <w:tr w:rsidR="00563F22" w:rsidRPr="00563F22" w14:paraId="09018372" w14:textId="77777777" w:rsidTr="00D54312">
        <w:tc>
          <w:tcPr>
            <w:tcW w:w="2211" w:type="dxa"/>
            <w:shd w:val="clear" w:color="auto" w:fill="auto"/>
          </w:tcPr>
          <w:p w14:paraId="7346655E" w14:textId="77777777" w:rsidR="00563F22" w:rsidRPr="00563F22" w:rsidRDefault="00563F22" w:rsidP="00563F22">
            <w:pPr>
              <w:pStyle w:val="NormalTableau"/>
            </w:pPr>
            <w:r w:rsidRPr="00563F22">
              <w:t>Ecoles primaires</w:t>
            </w:r>
          </w:p>
        </w:tc>
        <w:tc>
          <w:tcPr>
            <w:tcW w:w="2891" w:type="dxa"/>
            <w:shd w:val="clear" w:color="auto" w:fill="auto"/>
          </w:tcPr>
          <w:p w14:paraId="6EABC985" w14:textId="6C65C21F" w:rsidR="00563F22" w:rsidRPr="00563F22" w:rsidRDefault="00B64834" w:rsidP="00563F22">
            <w:pPr>
              <w:pStyle w:val="NormalTableau"/>
            </w:pPr>
            <w:r>
              <w:t>1 emplacement</w:t>
            </w:r>
            <w:r w:rsidR="00563F22" w:rsidRPr="00563F22">
              <w:t xml:space="preserve"> par classe scolaire</w:t>
            </w:r>
          </w:p>
        </w:tc>
        <w:tc>
          <w:tcPr>
            <w:tcW w:w="3653" w:type="dxa"/>
            <w:shd w:val="clear" w:color="auto" w:fill="auto"/>
          </w:tcPr>
          <w:p w14:paraId="4F5EF59E" w14:textId="77777777" w:rsidR="00563F22" w:rsidRPr="00563F22" w:rsidRDefault="00563F22" w:rsidP="00563F22">
            <w:pPr>
              <w:pStyle w:val="NormalTableau"/>
            </w:pPr>
            <w:r w:rsidRPr="00563F22">
              <w:t>Une zone de réserve pour l’aménagement ultérieure d’emplacements supplémentaires est à prévoir.</w:t>
            </w:r>
          </w:p>
        </w:tc>
      </w:tr>
      <w:tr w:rsidR="00563F22" w:rsidRPr="00563F22" w14:paraId="4E4F3BE2" w14:textId="77777777" w:rsidTr="00D54312">
        <w:tc>
          <w:tcPr>
            <w:tcW w:w="2211" w:type="dxa"/>
            <w:shd w:val="clear" w:color="auto" w:fill="auto"/>
          </w:tcPr>
          <w:p w14:paraId="1A1C661D" w14:textId="32E363FB" w:rsidR="00563F22" w:rsidRPr="00563F22" w:rsidRDefault="00563F22" w:rsidP="00563F22">
            <w:pPr>
              <w:pStyle w:val="NormalTableau"/>
            </w:pPr>
            <w:r w:rsidRPr="00563F22">
              <w:t xml:space="preserve">Autres établissements scolaires </w:t>
            </w:r>
          </w:p>
        </w:tc>
        <w:tc>
          <w:tcPr>
            <w:tcW w:w="2891" w:type="dxa"/>
            <w:shd w:val="clear" w:color="auto" w:fill="auto"/>
          </w:tcPr>
          <w:p w14:paraId="4E8614C4" w14:textId="2B94D793" w:rsidR="00563F22" w:rsidRPr="00563F22" w:rsidRDefault="00B64834" w:rsidP="00563F22">
            <w:pPr>
              <w:pStyle w:val="NormalTableau"/>
            </w:pPr>
            <w:r>
              <w:t>1 empl</w:t>
            </w:r>
            <w:r>
              <w:t>acement</w:t>
            </w:r>
            <w:r w:rsidR="00563F22">
              <w:t xml:space="preserve"> par </w:t>
            </w:r>
            <w:r w:rsidR="00563F22" w:rsidRPr="00563F22">
              <w:t>classe scolaire</w:t>
            </w:r>
          </w:p>
        </w:tc>
        <w:tc>
          <w:tcPr>
            <w:tcW w:w="3653" w:type="dxa"/>
            <w:shd w:val="clear" w:color="auto" w:fill="auto"/>
          </w:tcPr>
          <w:p w14:paraId="08D77FD1" w14:textId="77777777" w:rsidR="00563F22" w:rsidRPr="00563F22" w:rsidRDefault="00563F22" w:rsidP="00563F22">
            <w:pPr>
              <w:pStyle w:val="NormalTableau"/>
            </w:pPr>
            <w:r w:rsidRPr="00563F22">
              <w:t>Y compris lycées, universités, écoles professionnelles et autres écoles hautes spécialisées. Une zone de réserve pour l’aménagement ultérieure d’emplacements supplémentaires est à prévoir.</w:t>
            </w:r>
          </w:p>
        </w:tc>
      </w:tr>
      <w:tr w:rsidR="00563F22" w:rsidRPr="00563F22" w14:paraId="0BF077BB" w14:textId="77777777" w:rsidTr="00D54312">
        <w:tc>
          <w:tcPr>
            <w:tcW w:w="2211" w:type="dxa"/>
            <w:shd w:val="clear" w:color="auto" w:fill="auto"/>
          </w:tcPr>
          <w:p w14:paraId="50B92777" w14:textId="77777777" w:rsidR="00563F22" w:rsidRPr="00563F22" w:rsidRDefault="00563F22" w:rsidP="00563F22">
            <w:pPr>
              <w:pStyle w:val="NormalTableau"/>
            </w:pPr>
            <w:r w:rsidRPr="00563F22">
              <w:lastRenderedPageBreak/>
              <w:t xml:space="preserve">Arrêts ferroviaires </w:t>
            </w:r>
          </w:p>
        </w:tc>
        <w:tc>
          <w:tcPr>
            <w:tcW w:w="2891" w:type="dxa"/>
            <w:shd w:val="clear" w:color="auto" w:fill="auto"/>
          </w:tcPr>
          <w:p w14:paraId="6A2BDC51" w14:textId="1278CE66" w:rsidR="00563F22" w:rsidRPr="00563F22" w:rsidRDefault="00B64834" w:rsidP="00563F22">
            <w:pPr>
              <w:pStyle w:val="NormalTableau"/>
            </w:pPr>
            <w:r>
              <w:t>30 empl</w:t>
            </w:r>
            <w:r>
              <w:t>acement</w:t>
            </w:r>
            <w:r>
              <w:t>s</w:t>
            </w:r>
            <w:bookmarkStart w:id="0" w:name="_GoBack"/>
            <w:bookmarkEnd w:id="0"/>
          </w:p>
        </w:tc>
        <w:tc>
          <w:tcPr>
            <w:tcW w:w="3653" w:type="dxa"/>
            <w:shd w:val="clear" w:color="auto" w:fill="auto"/>
          </w:tcPr>
          <w:p w14:paraId="2FAFF255" w14:textId="77777777" w:rsidR="00563F22" w:rsidRPr="00563F22" w:rsidRDefault="00563F22" w:rsidP="00563F22">
            <w:pPr>
              <w:pStyle w:val="NormalTableau"/>
            </w:pPr>
            <w:r w:rsidRPr="00563F22">
              <w:t>Une zone de réserve pour l’aménagement ultérieure d’emplacements supplémentaires est à prévoir.</w:t>
            </w:r>
          </w:p>
        </w:tc>
      </w:tr>
      <w:tr w:rsidR="00563F22" w:rsidRPr="00563F22" w14:paraId="3B1278A3" w14:textId="77777777" w:rsidTr="00D54312">
        <w:tc>
          <w:tcPr>
            <w:tcW w:w="2211" w:type="dxa"/>
            <w:shd w:val="clear" w:color="auto" w:fill="auto"/>
          </w:tcPr>
          <w:p w14:paraId="232DF409" w14:textId="77777777" w:rsidR="00563F22" w:rsidRPr="00563F22" w:rsidRDefault="00563F22" w:rsidP="00563F22">
            <w:pPr>
              <w:pStyle w:val="NormalTableau"/>
            </w:pPr>
            <w:r w:rsidRPr="00563F22">
              <w:t>Immeuble de commerce à partir de 1.000 m² de surface de vente</w:t>
            </w:r>
          </w:p>
        </w:tc>
        <w:tc>
          <w:tcPr>
            <w:tcW w:w="2891" w:type="dxa"/>
            <w:shd w:val="clear" w:color="auto" w:fill="auto"/>
          </w:tcPr>
          <w:p w14:paraId="34F7D277" w14:textId="51F53D3B" w:rsidR="00563F22" w:rsidRPr="00563F22" w:rsidRDefault="00B64834" w:rsidP="00563F22">
            <w:pPr>
              <w:pStyle w:val="NormalTableau"/>
            </w:pPr>
            <w:r>
              <w:t>1 empl</w:t>
            </w:r>
            <w:r>
              <w:t>acement</w:t>
            </w:r>
            <w:r w:rsidR="00563F22" w:rsidRPr="00563F22">
              <w:t xml:space="preserve"> par 200 m² de surface de vente*)</w:t>
            </w:r>
          </w:p>
        </w:tc>
        <w:tc>
          <w:tcPr>
            <w:tcW w:w="3653" w:type="dxa"/>
            <w:shd w:val="clear" w:color="auto" w:fill="auto"/>
          </w:tcPr>
          <w:p w14:paraId="2251E6DD" w14:textId="77777777" w:rsidR="00563F22" w:rsidRPr="00563F22" w:rsidRDefault="00563F22" w:rsidP="00563F22">
            <w:pPr>
              <w:pStyle w:val="NormalTableau"/>
            </w:pPr>
          </w:p>
        </w:tc>
      </w:tr>
      <w:tr w:rsidR="00563F22" w:rsidRPr="00563F22" w14:paraId="79534067" w14:textId="77777777" w:rsidTr="00D54312">
        <w:tc>
          <w:tcPr>
            <w:tcW w:w="2211" w:type="dxa"/>
            <w:shd w:val="clear" w:color="auto" w:fill="auto"/>
          </w:tcPr>
          <w:p w14:paraId="4EAAE293" w14:textId="77777777" w:rsidR="00563F22" w:rsidRPr="00563F22" w:rsidRDefault="00563F22" w:rsidP="00563F22">
            <w:pPr>
              <w:pStyle w:val="NormalTableau"/>
            </w:pPr>
            <w:r w:rsidRPr="00563F22">
              <w:t xml:space="preserve">Centres sportifs </w:t>
            </w:r>
          </w:p>
        </w:tc>
        <w:tc>
          <w:tcPr>
            <w:tcW w:w="2891" w:type="dxa"/>
            <w:shd w:val="clear" w:color="auto" w:fill="auto"/>
          </w:tcPr>
          <w:p w14:paraId="0CC307AF" w14:textId="295EB0BF" w:rsidR="00563F22" w:rsidRPr="00563F22" w:rsidRDefault="00B64834" w:rsidP="00563F22">
            <w:pPr>
              <w:pStyle w:val="NormalTableau"/>
            </w:pPr>
            <w:r>
              <w:t>1 empl</w:t>
            </w:r>
            <w:r>
              <w:t>acement</w:t>
            </w:r>
            <w:r w:rsidR="00563F22" w:rsidRPr="00563F22">
              <w:t xml:space="preserve"> par place de vestiaire</w:t>
            </w:r>
          </w:p>
        </w:tc>
        <w:tc>
          <w:tcPr>
            <w:tcW w:w="3653" w:type="dxa"/>
            <w:shd w:val="clear" w:color="auto" w:fill="auto"/>
          </w:tcPr>
          <w:p w14:paraId="310A75BA" w14:textId="77777777" w:rsidR="00563F22" w:rsidRPr="00563F22" w:rsidRDefault="00563F22" w:rsidP="00563F22">
            <w:pPr>
              <w:pStyle w:val="NormalTableau"/>
            </w:pPr>
            <w:r w:rsidRPr="00563F22">
              <w:t>Une zone de réserve pour l’aménagement ultérieure d’emplacements supplémentaires est à prévoir.</w:t>
            </w:r>
          </w:p>
        </w:tc>
      </w:tr>
      <w:tr w:rsidR="00563F22" w:rsidRPr="00563F22" w14:paraId="72375EB8" w14:textId="77777777" w:rsidTr="00D54312">
        <w:tc>
          <w:tcPr>
            <w:tcW w:w="2211" w:type="dxa"/>
            <w:shd w:val="clear" w:color="auto" w:fill="auto"/>
          </w:tcPr>
          <w:p w14:paraId="09DA9579" w14:textId="77777777" w:rsidR="00563F22" w:rsidRPr="00563F22" w:rsidRDefault="00563F22" w:rsidP="00563F22">
            <w:pPr>
              <w:pStyle w:val="NormalTableau"/>
            </w:pPr>
            <w:r w:rsidRPr="00563F22">
              <w:t>Infrastructures culturelles avec places de visiteurs</w:t>
            </w:r>
          </w:p>
        </w:tc>
        <w:tc>
          <w:tcPr>
            <w:tcW w:w="2891" w:type="dxa"/>
            <w:shd w:val="clear" w:color="auto" w:fill="auto"/>
          </w:tcPr>
          <w:p w14:paraId="21A505B8" w14:textId="1CD780E7" w:rsidR="00563F22" w:rsidRPr="00563F22" w:rsidRDefault="00B64834" w:rsidP="00563F22">
            <w:pPr>
              <w:pStyle w:val="NormalTableau"/>
            </w:pPr>
            <w:r>
              <w:t>1 empl</w:t>
            </w:r>
            <w:r>
              <w:t>acement</w:t>
            </w:r>
            <w:r w:rsidR="00563F22" w:rsidRPr="00563F22">
              <w:t xml:space="preserve"> par 40 places de visiteurs</w:t>
            </w:r>
          </w:p>
        </w:tc>
        <w:tc>
          <w:tcPr>
            <w:tcW w:w="3653" w:type="dxa"/>
            <w:shd w:val="clear" w:color="auto" w:fill="auto"/>
          </w:tcPr>
          <w:p w14:paraId="52D9379D" w14:textId="77777777" w:rsidR="00563F22" w:rsidRPr="00563F22" w:rsidRDefault="00563F22" w:rsidP="00563F22">
            <w:pPr>
              <w:pStyle w:val="NormalTableau"/>
            </w:pPr>
            <w:r w:rsidRPr="00563F22">
              <w:t>p.ex.: Théâtres, Salles de concerts et cinémas</w:t>
            </w:r>
          </w:p>
        </w:tc>
      </w:tr>
    </w:tbl>
    <w:p w14:paraId="257788F8" w14:textId="0FD32948" w:rsidR="00563F22" w:rsidRPr="00563F22" w:rsidRDefault="00563F22" w:rsidP="00563F22">
      <w:pPr>
        <w:rPr>
          <w:lang w:val="fr-FR"/>
        </w:rPr>
      </w:pPr>
      <w:r w:rsidRPr="00563F22">
        <w:rPr>
          <w:lang w:val="fr-FR"/>
        </w:rPr>
        <w:t>*) surface de vente au sens de la loi du 2 septembre 2011 réglementant l’accès aux professions d’artisan, de commerçant, d’industriel ainsi qu’à certaines professions libérales.</w:t>
      </w:r>
    </w:p>
    <w:sectPr w:rsidR="00563F22" w:rsidRPr="00563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F10"/>
    <w:multiLevelType w:val="hybridMultilevel"/>
    <w:tmpl w:val="26E6A1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0441C"/>
    <w:multiLevelType w:val="hybridMultilevel"/>
    <w:tmpl w:val="68E0EF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2B19"/>
    <w:rsid w:val="0039622D"/>
    <w:rsid w:val="004D5289"/>
    <w:rsid w:val="00563F22"/>
    <w:rsid w:val="006202CB"/>
    <w:rsid w:val="00652896"/>
    <w:rsid w:val="006605E2"/>
    <w:rsid w:val="00677965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B64834"/>
    <w:rsid w:val="00C10C63"/>
    <w:rsid w:val="00C85115"/>
    <w:rsid w:val="00CB2FE8"/>
    <w:rsid w:val="00CF3132"/>
    <w:rsid w:val="00D35FE3"/>
    <w:rsid w:val="00D44A8A"/>
    <w:rsid w:val="00E9306E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2B1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92B1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2021-12-29T14:13:00Z</dcterms:modified>
</cp:coreProperties>
</file>