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CEEF9" w14:textId="2880C4B0" w:rsidR="00C524CC" w:rsidRPr="00C524CC" w:rsidRDefault="00C524CC" w:rsidP="00507E1B">
      <w:pPr>
        <w:pStyle w:val="Heading1"/>
        <w:rPr>
          <w:lang w:val="fr-FR"/>
        </w:rPr>
      </w:pPr>
      <w:r>
        <w:rPr>
          <w:lang w:val="fr-FR"/>
        </w:rPr>
        <w:t xml:space="preserve">Art. 12 </w:t>
      </w:r>
      <w:r w:rsidRPr="00C524CC">
        <w:rPr>
          <w:lang w:val="fr-FR"/>
        </w:rPr>
        <w:t xml:space="preserve">Zones de servitude </w:t>
      </w:r>
      <w:r>
        <w:rPr>
          <w:lang w:val="fr-FR"/>
        </w:rPr>
        <w:t>« </w:t>
      </w:r>
      <w:r w:rsidRPr="00C524CC">
        <w:rPr>
          <w:lang w:val="fr-FR"/>
        </w:rPr>
        <w:t>urbanisation</w:t>
      </w:r>
      <w:r>
        <w:rPr>
          <w:lang w:val="fr-FR"/>
        </w:rPr>
        <w:t> »</w:t>
      </w:r>
    </w:p>
    <w:p w14:paraId="38FDEE07" w14:textId="36D8C846" w:rsidR="006605E2" w:rsidRDefault="00C524CC" w:rsidP="00C524CC">
      <w:pPr>
        <w:rPr>
          <w:lang w:val="fr-FR"/>
        </w:rPr>
      </w:pPr>
      <w:r w:rsidRPr="00C524CC">
        <w:rPr>
          <w:lang w:val="fr-FR"/>
        </w:rPr>
        <w:t xml:space="preserve">Les zones de servitude </w:t>
      </w:r>
      <w:r>
        <w:rPr>
          <w:lang w:val="fr-FR"/>
        </w:rPr>
        <w:t>« </w:t>
      </w:r>
      <w:r w:rsidRPr="00C524CC">
        <w:rPr>
          <w:lang w:val="fr-FR"/>
        </w:rPr>
        <w:t>urbanisation</w:t>
      </w:r>
      <w:r>
        <w:rPr>
          <w:lang w:val="fr-FR"/>
        </w:rPr>
        <w:t> »</w:t>
      </w:r>
      <w:r w:rsidRPr="00C524CC">
        <w:rPr>
          <w:lang w:val="fr-FR"/>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33FBAD04" w14:textId="2B348A6F" w:rsidR="00507E1B" w:rsidRPr="00507E1B" w:rsidRDefault="00507E1B" w:rsidP="00507E1B">
      <w:pPr>
        <w:pStyle w:val="Heading2"/>
        <w:rPr>
          <w:lang w:val="fr-FR"/>
        </w:rPr>
      </w:pPr>
      <w:r>
        <w:rPr>
          <w:lang w:val="fr-FR"/>
        </w:rPr>
        <w:t xml:space="preserve">Art 12.3 </w:t>
      </w:r>
      <w:r w:rsidRPr="00507E1B">
        <w:rPr>
          <w:lang w:val="fr-FR"/>
        </w:rPr>
        <w:t xml:space="preserve">Servitude </w:t>
      </w:r>
      <w:r>
        <w:rPr>
          <w:lang w:val="fr-FR"/>
        </w:rPr>
        <w:t>« </w:t>
      </w:r>
      <w:r w:rsidRPr="00507E1B">
        <w:rPr>
          <w:lang w:val="fr-FR"/>
        </w:rPr>
        <w:t>urbanisation – cours d’eau</w:t>
      </w:r>
      <w:r>
        <w:rPr>
          <w:lang w:val="fr-FR"/>
        </w:rPr>
        <w:t> »</w:t>
      </w:r>
      <w:r w:rsidRPr="00507E1B">
        <w:rPr>
          <w:lang w:val="fr-FR"/>
        </w:rPr>
        <w:t xml:space="preserve"> [E]</w:t>
      </w:r>
    </w:p>
    <w:p w14:paraId="59293D75" w14:textId="720C351B" w:rsidR="00507E1B" w:rsidRPr="00507E1B" w:rsidRDefault="00507E1B" w:rsidP="00507E1B">
      <w:pPr>
        <w:rPr>
          <w:lang w:val="fr-FR"/>
        </w:rPr>
      </w:pPr>
      <w:r w:rsidRPr="00507E1B">
        <w:rPr>
          <w:lang w:val="fr-FR"/>
        </w:rPr>
        <w:t xml:space="preserve">Les secteurs et éléments soumis à des servitudes spéciales </w:t>
      </w:r>
      <w:r>
        <w:rPr>
          <w:lang w:val="fr-FR"/>
        </w:rPr>
        <w:t>« </w:t>
      </w:r>
      <w:r w:rsidRPr="00507E1B">
        <w:rPr>
          <w:lang w:val="fr-FR"/>
        </w:rPr>
        <w:t>Urbanisation – Cours d’eau</w:t>
      </w:r>
      <w:r>
        <w:rPr>
          <w:lang w:val="fr-FR"/>
        </w:rPr>
        <w:t> »</w:t>
      </w:r>
      <w:r w:rsidRPr="00507E1B">
        <w:rPr>
          <w:lang w:val="fr-FR"/>
        </w:rPr>
        <w:t xml:space="preserve"> sont marqués de la surimpression </w:t>
      </w:r>
      <w:r>
        <w:rPr>
          <w:lang w:val="fr-FR"/>
        </w:rPr>
        <w:t>« </w:t>
      </w:r>
      <w:r w:rsidRPr="00507E1B">
        <w:rPr>
          <w:lang w:val="fr-FR"/>
        </w:rPr>
        <w:t>E</w:t>
      </w:r>
      <w:r>
        <w:rPr>
          <w:lang w:val="fr-FR"/>
        </w:rPr>
        <w:t> »</w:t>
      </w:r>
      <w:r w:rsidRPr="00507E1B">
        <w:rPr>
          <w:lang w:val="fr-FR"/>
        </w:rPr>
        <w:t>.</w:t>
      </w:r>
    </w:p>
    <w:p w14:paraId="1E279007" w14:textId="78D02A0E" w:rsidR="00507E1B" w:rsidRPr="00507E1B" w:rsidRDefault="00507E1B" w:rsidP="00507E1B">
      <w:pPr>
        <w:rPr>
          <w:lang w:val="fr-FR"/>
        </w:rPr>
      </w:pPr>
      <w:r w:rsidRPr="00507E1B">
        <w:rPr>
          <w:lang w:val="fr-FR"/>
        </w:rPr>
        <w:t xml:space="preserve">La zone de servitude </w:t>
      </w:r>
      <w:r>
        <w:rPr>
          <w:lang w:val="fr-FR"/>
        </w:rPr>
        <w:t>« </w:t>
      </w:r>
      <w:r w:rsidRPr="00507E1B">
        <w:rPr>
          <w:lang w:val="fr-FR"/>
        </w:rPr>
        <w:t>urbanisation - Cours d’Eau</w:t>
      </w:r>
      <w:r>
        <w:rPr>
          <w:lang w:val="fr-FR"/>
        </w:rPr>
        <w:t> »</w:t>
      </w:r>
      <w:r w:rsidRPr="00507E1B">
        <w:rPr>
          <w:lang w:val="fr-FR"/>
        </w:rPr>
        <w:t xml:space="preserve"> [E] vise à réserver une coulée verte le long du cours d’eau permanent. Elle comprend une bande non scellée de 5 mètres de part et d’autres des berges du cours d’eau dans laquelle toute construction, toute modification du terrain naturel ainsi que tout changement d</w:t>
      </w:r>
      <w:r>
        <w:rPr>
          <w:lang w:val="fr-FR"/>
        </w:rPr>
        <w:t>e l’état naturel est prohibé.</w:t>
      </w:r>
    </w:p>
    <w:p w14:paraId="3587E9EA" w14:textId="6ECD2885" w:rsidR="00C524CC" w:rsidRPr="006605E2" w:rsidRDefault="00507E1B" w:rsidP="00507E1B">
      <w:pPr>
        <w:rPr>
          <w:lang w:val="fr-FR"/>
        </w:rPr>
      </w:pPr>
      <w:r w:rsidRPr="00507E1B">
        <w:rPr>
          <w:lang w:val="fr-FR"/>
        </w:rPr>
        <w:t>Exceptionnellement, des constructions ou des aménagements d’intérêt général et d’utilité publique, telles que des infrastructures techniques liées à la gestion des eaux, des ponts routiers, des cheminements piétons ou toute construction servant comme mesure de renaturation pourront être autorisés pour autant qu’ils ne portent préjudice à la fonctionnalité essentielle du cours d’eau.</w:t>
      </w:r>
      <w:bookmarkStart w:id="0" w:name="_GoBack"/>
      <w:bookmarkEnd w:id="0"/>
    </w:p>
    <w:sectPr w:rsidR="00C524CC"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07E1B"/>
    <w:rsid w:val="005D1D9B"/>
    <w:rsid w:val="006605E2"/>
    <w:rsid w:val="006653E2"/>
    <w:rsid w:val="00732511"/>
    <w:rsid w:val="007B41C9"/>
    <w:rsid w:val="007B5125"/>
    <w:rsid w:val="008A46DB"/>
    <w:rsid w:val="009D6555"/>
    <w:rsid w:val="00A610F9"/>
    <w:rsid w:val="00AD5B20"/>
    <w:rsid w:val="00B11E93"/>
    <w:rsid w:val="00B208F3"/>
    <w:rsid w:val="00C10C63"/>
    <w:rsid w:val="00C524CC"/>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2021-03-18T09:38:00Z</dcterms:modified>
</cp:coreProperties>
</file>