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7A3F10B" w:rsidR="006605E2" w:rsidRDefault="0026703A" w:rsidP="0026703A">
      <w:pPr>
        <w:pStyle w:val="Heading1"/>
        <w:rPr>
          <w:lang w:val="fr-FR"/>
        </w:rPr>
      </w:pPr>
      <w:r>
        <w:rPr>
          <w:lang w:val="fr-FR"/>
        </w:rPr>
        <w:t xml:space="preserve">Art. 4 </w:t>
      </w:r>
      <w:r w:rsidRPr="0026703A">
        <w:rPr>
          <w:lang w:val="fr-FR"/>
        </w:rPr>
        <w:t xml:space="preserve">Quartier existant HAB-1 </w:t>
      </w:r>
      <w:r>
        <w:rPr>
          <w:lang w:val="fr-FR"/>
        </w:rPr>
        <w:t>« </w:t>
      </w:r>
      <w:r w:rsidRPr="0026703A">
        <w:rPr>
          <w:lang w:val="fr-FR"/>
        </w:rPr>
        <w:t>For</w:t>
      </w:r>
      <w:r>
        <w:rPr>
          <w:lang w:val="fr-FR"/>
        </w:rPr>
        <w:t xml:space="preserve">te pente - Rue du Lac à </w:t>
      </w:r>
      <w:proofErr w:type="spellStart"/>
      <w:r>
        <w:rPr>
          <w:lang w:val="fr-FR"/>
        </w:rPr>
        <w:t>Bivels</w:t>
      </w:r>
      <w:proofErr w:type="spellEnd"/>
      <w:r>
        <w:rPr>
          <w:lang w:val="fr-FR"/>
        </w:rPr>
        <w:t> »</w:t>
      </w:r>
    </w:p>
    <w:p w14:paraId="0762EF64" w14:textId="0DB2E490" w:rsidR="0026703A" w:rsidRDefault="0026703A" w:rsidP="0026703A">
      <w:pPr>
        <w:rPr>
          <w:lang w:val="fr-FR"/>
        </w:rPr>
      </w:pPr>
      <w:r w:rsidRPr="0026703A">
        <w:rPr>
          <w:lang w:val="fr-FR"/>
        </w:rPr>
        <w:t xml:space="preserve">Prescriptions du quartier HAB-1 </w:t>
      </w:r>
      <w:r>
        <w:rPr>
          <w:lang w:val="fr-FR"/>
        </w:rPr>
        <w:t>« </w:t>
      </w:r>
      <w:r w:rsidRPr="0026703A">
        <w:rPr>
          <w:lang w:val="fr-FR"/>
        </w:rPr>
        <w:t xml:space="preserve">Forte pente - Rue du Lac à </w:t>
      </w:r>
      <w:proofErr w:type="spellStart"/>
      <w:r w:rsidRPr="0026703A">
        <w:rPr>
          <w:lang w:val="fr-FR"/>
        </w:rPr>
        <w:t>Bivels</w:t>
      </w:r>
      <w:proofErr w:type="spellEnd"/>
      <w:r>
        <w:rPr>
          <w:lang w:val="fr-FR"/>
        </w:rPr>
        <w:t> »</w:t>
      </w:r>
      <w:r w:rsidRPr="0026703A">
        <w:rPr>
          <w:lang w:val="fr-FR"/>
        </w:rPr>
        <w:t xml:space="preserve"> pour les nouvelles constructions* à t</w:t>
      </w:r>
      <w:r>
        <w:rPr>
          <w:lang w:val="fr-FR"/>
        </w:rPr>
        <w:t>itre indicatif et non exhaustif</w:t>
      </w:r>
      <w:r w:rsidRPr="0026703A">
        <w:rPr>
          <w:lang w:val="fr-FR"/>
        </w:rPr>
        <w:t>:</w:t>
      </w: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4252"/>
      </w:tblGrid>
      <w:tr w:rsidR="0026703A" w:rsidRPr="006F7886" w14:paraId="58C68237" w14:textId="77777777" w:rsidTr="0026703A">
        <w:trPr>
          <w:trHeight w:val="761"/>
          <w:jc w:val="center"/>
        </w:trPr>
        <w:tc>
          <w:tcPr>
            <w:tcW w:w="2835" w:type="dxa"/>
            <w:gridSpan w:val="2"/>
            <w:shd w:val="clear" w:color="auto" w:fill="B6C8B5"/>
            <w:noWrap/>
            <w:vAlign w:val="center"/>
            <w:hideMark/>
          </w:tcPr>
          <w:p w14:paraId="65BE9B71" w14:textId="77777777" w:rsidR="0026703A" w:rsidRPr="0026703A" w:rsidRDefault="0026703A" w:rsidP="0026703A">
            <w:pPr>
              <w:pStyle w:val="NormalTableau"/>
            </w:pPr>
            <w:r w:rsidRPr="0026703A">
              <w:t>Type de prescription</w:t>
            </w:r>
          </w:p>
        </w:tc>
        <w:tc>
          <w:tcPr>
            <w:tcW w:w="4252" w:type="dxa"/>
            <w:shd w:val="clear" w:color="auto" w:fill="B6C8B5"/>
            <w:vAlign w:val="center"/>
          </w:tcPr>
          <w:p w14:paraId="5C5E33C3" w14:textId="77777777" w:rsidR="0026703A" w:rsidRPr="006F7886" w:rsidRDefault="0026703A" w:rsidP="0026703A">
            <w:pPr>
              <w:pStyle w:val="NormalTableau"/>
              <w:rPr>
                <w:lang w:val="fr-FR"/>
              </w:rPr>
            </w:pPr>
            <w:r w:rsidRPr="006F7886">
              <w:rPr>
                <w:lang w:val="fr-FR"/>
              </w:rPr>
              <w:t>Prescriptions du quartier</w:t>
            </w:r>
          </w:p>
          <w:p w14:paraId="24F4A765" w14:textId="77777777" w:rsidR="0026703A" w:rsidRPr="006F7886" w:rsidRDefault="0026703A" w:rsidP="0026703A">
            <w:pPr>
              <w:pStyle w:val="NormalTableau"/>
              <w:rPr>
                <w:lang w:val="fr-FR"/>
              </w:rPr>
            </w:pPr>
            <w:r w:rsidRPr="006F7886">
              <w:rPr>
                <w:lang w:val="fr-FR"/>
              </w:rPr>
              <w:t>HAB-1 « Forte pente -Rue du Lac à Bivels »</w:t>
            </w:r>
          </w:p>
        </w:tc>
      </w:tr>
      <w:tr w:rsidR="0026703A" w:rsidRPr="0026703A" w14:paraId="1807D6F9" w14:textId="77777777" w:rsidTr="0026703A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527E5E7B" w14:textId="77777777" w:rsidR="0026703A" w:rsidRPr="006F7886" w:rsidRDefault="0026703A" w:rsidP="0026703A">
            <w:pPr>
              <w:pStyle w:val="NormalTableau"/>
              <w:rPr>
                <w:lang w:val="fr-FR"/>
              </w:rPr>
            </w:pPr>
            <w:r w:rsidRPr="006F7886">
              <w:rPr>
                <w:lang w:val="fr-FR"/>
              </w:rPr>
              <w:t>Reculs* des constructions par rapport aux limites du terrain à bâtir net*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FB811B" w14:textId="77777777" w:rsidR="0026703A" w:rsidRPr="0026703A" w:rsidRDefault="0026703A" w:rsidP="0026703A">
            <w:pPr>
              <w:pStyle w:val="NormalTableau"/>
            </w:pPr>
            <w:r w:rsidRPr="0026703A">
              <w:t>Avant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F94BC47" w14:textId="77777777" w:rsidR="0026703A" w:rsidRPr="0026703A" w:rsidRDefault="0026703A" w:rsidP="0026703A">
            <w:pPr>
              <w:pStyle w:val="NormalTableau"/>
            </w:pPr>
            <w:r w:rsidRPr="0026703A">
              <w:t>5,00 m à 7,00 m</w:t>
            </w:r>
          </w:p>
        </w:tc>
      </w:tr>
      <w:tr w:rsidR="0026703A" w:rsidRPr="0026703A" w14:paraId="31E8B982" w14:textId="77777777" w:rsidTr="0026703A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FCEC680" w14:textId="77777777" w:rsidR="0026703A" w:rsidRPr="0026703A" w:rsidRDefault="0026703A" w:rsidP="0026703A">
            <w:pPr>
              <w:pStyle w:val="NormalTableau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A2179C" w14:textId="77777777" w:rsidR="0026703A" w:rsidRPr="0026703A" w:rsidRDefault="0026703A" w:rsidP="0026703A">
            <w:pPr>
              <w:pStyle w:val="NormalTableau"/>
            </w:pPr>
            <w:r w:rsidRPr="0026703A">
              <w:t>Latéral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7707FEE" w14:textId="77777777" w:rsidR="0026703A" w:rsidRPr="0026703A" w:rsidRDefault="0026703A" w:rsidP="0026703A">
            <w:pPr>
              <w:pStyle w:val="NormalTableau"/>
            </w:pPr>
            <w:r w:rsidRPr="0026703A">
              <w:t>Min 3,00 m</w:t>
            </w:r>
          </w:p>
        </w:tc>
      </w:tr>
      <w:tr w:rsidR="0026703A" w:rsidRPr="0026703A" w14:paraId="13F9EEA3" w14:textId="77777777" w:rsidTr="0026703A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821875E" w14:textId="77777777" w:rsidR="0026703A" w:rsidRPr="0026703A" w:rsidRDefault="0026703A" w:rsidP="0026703A">
            <w:pPr>
              <w:pStyle w:val="NormalTableau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530481" w14:textId="77777777" w:rsidR="0026703A" w:rsidRPr="0026703A" w:rsidRDefault="0026703A" w:rsidP="0026703A">
            <w:pPr>
              <w:pStyle w:val="NormalTableau"/>
            </w:pPr>
            <w:r w:rsidRPr="0026703A">
              <w:t>Arrière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0E09D29" w14:textId="77777777" w:rsidR="0026703A" w:rsidRPr="0026703A" w:rsidRDefault="0026703A" w:rsidP="0026703A">
            <w:pPr>
              <w:pStyle w:val="NormalTableau"/>
            </w:pPr>
            <w:r w:rsidRPr="0026703A">
              <w:t>Min 5,00 m</w:t>
            </w:r>
          </w:p>
        </w:tc>
      </w:tr>
      <w:tr w:rsidR="0026703A" w:rsidRPr="0026703A" w14:paraId="519D2E4F" w14:textId="77777777" w:rsidTr="0026703A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</w:tcPr>
          <w:p w14:paraId="7644944A" w14:textId="77777777" w:rsidR="0026703A" w:rsidRPr="006F7886" w:rsidRDefault="0026703A" w:rsidP="0026703A">
            <w:pPr>
              <w:pStyle w:val="NormalTableau"/>
              <w:rPr>
                <w:lang w:val="fr-FR"/>
              </w:rPr>
            </w:pPr>
            <w:r w:rsidRPr="006F7886">
              <w:rPr>
                <w:lang w:val="fr-FR"/>
              </w:rPr>
              <w:t>Type et implantation des constructions hors sol et sous-sol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F9DA1D" w14:textId="77777777" w:rsidR="0026703A" w:rsidRPr="0026703A" w:rsidRDefault="0026703A" w:rsidP="0026703A">
            <w:pPr>
              <w:pStyle w:val="NormalTableau"/>
            </w:pPr>
            <w:r w:rsidRPr="0026703A">
              <w:t xml:space="preserve">Type de construction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F314E7E" w14:textId="77777777" w:rsidR="0026703A" w:rsidRPr="0026703A" w:rsidRDefault="0026703A" w:rsidP="0026703A">
            <w:pPr>
              <w:pStyle w:val="NormalTableau"/>
            </w:pPr>
            <w:r w:rsidRPr="0026703A">
              <w:t>Isolées</w:t>
            </w:r>
          </w:p>
        </w:tc>
      </w:tr>
      <w:tr w:rsidR="0026703A" w:rsidRPr="0026703A" w14:paraId="1F00B19B" w14:textId="77777777" w:rsidTr="0026703A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16067454" w14:textId="77777777" w:rsidR="0026703A" w:rsidRPr="0026703A" w:rsidRDefault="0026703A" w:rsidP="0026703A">
            <w:pPr>
              <w:pStyle w:val="NormalTableau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0A97603" w14:textId="77777777" w:rsidR="0026703A" w:rsidRPr="0026703A" w:rsidRDefault="0026703A" w:rsidP="0026703A">
            <w:pPr>
              <w:pStyle w:val="NormalTableau"/>
            </w:pPr>
            <w:r w:rsidRPr="0026703A">
              <w:t xml:space="preserve">Bande de construction*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210D1B" w14:textId="77777777" w:rsidR="0026703A" w:rsidRPr="0026703A" w:rsidRDefault="0026703A" w:rsidP="0026703A">
            <w:pPr>
              <w:pStyle w:val="NormalTableau"/>
            </w:pPr>
            <w:r w:rsidRPr="0026703A">
              <w:t>22,00 m</w:t>
            </w:r>
          </w:p>
        </w:tc>
      </w:tr>
      <w:tr w:rsidR="0026703A" w:rsidRPr="006F7886" w14:paraId="69E1AFCB" w14:textId="77777777" w:rsidTr="0026703A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78AA5741" w14:textId="77777777" w:rsidR="0026703A" w:rsidRPr="0026703A" w:rsidRDefault="0026703A" w:rsidP="0026703A">
            <w:pPr>
              <w:pStyle w:val="NormalTableau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9E2518C" w14:textId="77777777" w:rsidR="0026703A" w:rsidRPr="0026703A" w:rsidRDefault="0026703A" w:rsidP="0026703A">
            <w:pPr>
              <w:pStyle w:val="NormalTableau"/>
            </w:pPr>
            <w:r w:rsidRPr="0026703A">
              <w:t xml:space="preserve">Profondeur* des constructions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A5F484B" w14:textId="77777777" w:rsidR="0026703A" w:rsidRPr="006F7886" w:rsidRDefault="0026703A" w:rsidP="0026703A">
            <w:pPr>
              <w:pStyle w:val="NormalTableau"/>
              <w:rPr>
                <w:lang w:val="fr-FR"/>
              </w:rPr>
            </w:pPr>
            <w:r w:rsidRPr="006F7886">
              <w:rPr>
                <w:lang w:val="fr-FR"/>
              </w:rPr>
              <w:t>RDC : 13,00 m</w:t>
            </w:r>
          </w:p>
          <w:p w14:paraId="74653651" w14:textId="77777777" w:rsidR="0026703A" w:rsidRPr="006F7886" w:rsidRDefault="0026703A" w:rsidP="0026703A">
            <w:pPr>
              <w:pStyle w:val="NormalTableau"/>
              <w:rPr>
                <w:lang w:val="fr-FR"/>
              </w:rPr>
            </w:pPr>
            <w:r w:rsidRPr="006F7886">
              <w:rPr>
                <w:lang w:val="fr-FR"/>
              </w:rPr>
              <w:t>Autres niveaux : 15,00 m</w:t>
            </w:r>
          </w:p>
        </w:tc>
      </w:tr>
      <w:tr w:rsidR="0026703A" w:rsidRPr="0026703A" w14:paraId="47E2A560" w14:textId="77777777" w:rsidTr="0026703A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1221EE05" w14:textId="77777777" w:rsidR="0026703A" w:rsidRPr="0026703A" w:rsidRDefault="0026703A" w:rsidP="0026703A">
            <w:pPr>
              <w:pStyle w:val="NormalTableau"/>
            </w:pPr>
            <w:r w:rsidRPr="0026703A">
              <w:t xml:space="preserve">Nombre de niveaux*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AB4DF2D" w14:textId="77777777" w:rsidR="0026703A" w:rsidRPr="0026703A" w:rsidRDefault="0026703A" w:rsidP="0026703A">
            <w:pPr>
              <w:pStyle w:val="NormalTableau"/>
            </w:pPr>
            <w:r w:rsidRPr="0026703A">
              <w:t xml:space="preserve">Max 3 niveaux </w:t>
            </w:r>
          </w:p>
        </w:tc>
      </w:tr>
      <w:tr w:rsidR="0026703A" w:rsidRPr="0026703A" w14:paraId="2FF25F1D" w14:textId="77777777" w:rsidTr="0026703A">
        <w:trPr>
          <w:trHeight w:val="337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5CEF4085" w14:textId="77777777" w:rsidR="0026703A" w:rsidRPr="0026703A" w:rsidRDefault="0026703A" w:rsidP="0026703A">
            <w:pPr>
              <w:pStyle w:val="NormalTableau"/>
            </w:pPr>
            <w:r w:rsidRPr="0026703A">
              <w:t xml:space="preserve">Hauteur des constructions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18B16B1" w14:textId="77777777" w:rsidR="0026703A" w:rsidRPr="0026703A" w:rsidRDefault="0026703A" w:rsidP="0026703A">
            <w:pPr>
              <w:pStyle w:val="NormalTableau"/>
            </w:pPr>
            <w:r w:rsidRPr="0026703A">
              <w:t>Max 4,00 m</w:t>
            </w:r>
          </w:p>
        </w:tc>
      </w:tr>
      <w:tr w:rsidR="0026703A" w:rsidRPr="0026703A" w14:paraId="120144F2" w14:textId="77777777" w:rsidTr="0026703A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0037BB13" w14:textId="77777777" w:rsidR="0026703A" w:rsidRPr="0026703A" w:rsidRDefault="0026703A" w:rsidP="0026703A">
            <w:pPr>
              <w:pStyle w:val="NormalTableau"/>
            </w:pPr>
            <w:r w:rsidRPr="0026703A">
              <w:t>Nombre d’unités de logement*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5106BB7" w14:textId="77777777" w:rsidR="0026703A" w:rsidRPr="0026703A" w:rsidRDefault="0026703A" w:rsidP="0026703A">
            <w:pPr>
              <w:pStyle w:val="NormalTableau"/>
            </w:pPr>
            <w:r w:rsidRPr="0026703A">
              <w:t>1 + 1 logement intégré*</w:t>
            </w:r>
          </w:p>
        </w:tc>
      </w:tr>
      <w:tr w:rsidR="0026703A" w:rsidRPr="0026703A" w14:paraId="42D310AB" w14:textId="77777777" w:rsidTr="0026703A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</w:tcPr>
          <w:p w14:paraId="55BEA458" w14:textId="77777777" w:rsidR="0026703A" w:rsidRPr="0026703A" w:rsidRDefault="0026703A" w:rsidP="0026703A">
            <w:pPr>
              <w:pStyle w:val="NormalTableau"/>
            </w:pPr>
            <w:r w:rsidRPr="0026703A">
              <w:t>Emplacements de stationnement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DB3B929" w14:textId="77777777" w:rsidR="0026703A" w:rsidRPr="0026703A" w:rsidRDefault="0026703A" w:rsidP="0026703A">
            <w:pPr>
              <w:pStyle w:val="NormalTableau"/>
            </w:pPr>
            <w:r w:rsidRPr="0026703A">
              <w:t>Sur la même parcelle*</w:t>
            </w:r>
          </w:p>
        </w:tc>
      </w:tr>
    </w:tbl>
    <w:p w14:paraId="22F731F8" w14:textId="3633417F" w:rsidR="0026703A" w:rsidRDefault="0026703A" w:rsidP="0026703A">
      <w:pPr>
        <w:rPr>
          <w:lang w:val="fr-FR"/>
        </w:rPr>
      </w:pPr>
    </w:p>
    <w:p w14:paraId="5C29B447" w14:textId="2FE61AF9" w:rsidR="0026703A" w:rsidRPr="0026703A" w:rsidRDefault="0026703A" w:rsidP="0026703A">
      <w:pPr>
        <w:pStyle w:val="Heading2"/>
        <w:rPr>
          <w:lang w:val="fr-FR"/>
        </w:rPr>
      </w:pPr>
      <w:r>
        <w:rPr>
          <w:lang w:val="fr-FR"/>
        </w:rPr>
        <w:t xml:space="preserve">Art. 4.1 </w:t>
      </w:r>
      <w:r w:rsidRPr="0026703A">
        <w:rPr>
          <w:lang w:val="fr-FR"/>
        </w:rPr>
        <w:t xml:space="preserve">Reculs* des constructions* par rapport aux </w:t>
      </w:r>
      <w:r>
        <w:rPr>
          <w:lang w:val="fr-FR"/>
        </w:rPr>
        <w:t>limites du terrain à bâtir net*</w:t>
      </w:r>
    </w:p>
    <w:p w14:paraId="676462A7" w14:textId="4FEE829A" w:rsidR="0026703A" w:rsidRDefault="0026703A" w:rsidP="0026703A">
      <w:pPr>
        <w:pStyle w:val="Heading3"/>
        <w:rPr>
          <w:lang w:val="fr-FR"/>
        </w:rPr>
      </w:pPr>
      <w:r>
        <w:rPr>
          <w:lang w:val="fr-FR"/>
        </w:rPr>
        <w:t xml:space="preserve">Art. 4.1.1 </w:t>
      </w:r>
      <w:r w:rsidRPr="0026703A">
        <w:rPr>
          <w:lang w:val="fr-FR"/>
        </w:rPr>
        <w:t>Recul* avant des constructions*</w:t>
      </w:r>
    </w:p>
    <w:p w14:paraId="0C152EAE" w14:textId="1346A6C1" w:rsidR="0026703A" w:rsidRDefault="0026703A" w:rsidP="0026703A">
      <w:pPr>
        <w:rPr>
          <w:lang w:val="fr-FR"/>
        </w:rPr>
      </w:pPr>
      <w:r w:rsidRPr="0026703A">
        <w:rPr>
          <w:lang w:val="fr-FR"/>
        </w:rPr>
        <w:t>Le recul* avant des constructions principales* doit être compris entre 5,00m et 7,00 m.</w:t>
      </w:r>
    </w:p>
    <w:p w14:paraId="1877E7BF" w14:textId="21FDB594" w:rsidR="0026703A" w:rsidRDefault="0026703A" w:rsidP="0026703A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64A67B8" wp14:editId="369754CA">
            <wp:extent cx="1183005" cy="13474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2BC17D" w14:textId="46A0FA7C" w:rsidR="0026703A" w:rsidRDefault="0026703A" w:rsidP="0026703A">
      <w:pPr>
        <w:pStyle w:val="Heading3"/>
        <w:rPr>
          <w:lang w:val="fr-FR"/>
        </w:rPr>
      </w:pPr>
      <w:r>
        <w:rPr>
          <w:lang w:val="fr-FR"/>
        </w:rPr>
        <w:t xml:space="preserve">Art. 4.1.2 </w:t>
      </w:r>
      <w:r w:rsidRPr="0026703A">
        <w:rPr>
          <w:lang w:val="fr-FR"/>
        </w:rPr>
        <w:t>Recul* latéral des constructions*</w:t>
      </w:r>
    </w:p>
    <w:p w14:paraId="28B64EF9" w14:textId="6F886B04" w:rsidR="0026703A" w:rsidRDefault="0026703A" w:rsidP="0026703A">
      <w:pPr>
        <w:rPr>
          <w:lang w:val="fr-FR"/>
        </w:rPr>
      </w:pPr>
      <w:r w:rsidRPr="0026703A">
        <w:rPr>
          <w:lang w:val="fr-FR"/>
        </w:rPr>
        <w:t>Toute nouvelle construction principale* est implantée en recul* latéral de 3,00 m minimum.</w:t>
      </w:r>
    </w:p>
    <w:p w14:paraId="5F7E7A9A" w14:textId="78CDA047" w:rsidR="0026703A" w:rsidRDefault="0026703A" w:rsidP="0026703A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16832852" wp14:editId="7683418D">
            <wp:extent cx="1200785" cy="12007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8ABB88" w14:textId="528FE5C2" w:rsidR="0026703A" w:rsidRDefault="0026703A" w:rsidP="0026703A">
      <w:pPr>
        <w:pStyle w:val="Heading3"/>
        <w:rPr>
          <w:lang w:val="fr-FR"/>
        </w:rPr>
      </w:pPr>
      <w:r>
        <w:rPr>
          <w:lang w:val="fr-FR"/>
        </w:rPr>
        <w:t xml:space="preserve">Art. 4.1.3 </w:t>
      </w:r>
      <w:r w:rsidRPr="0026703A">
        <w:rPr>
          <w:lang w:val="fr-FR"/>
        </w:rPr>
        <w:t>Recul* arrière des constructions*</w:t>
      </w:r>
    </w:p>
    <w:p w14:paraId="756E13F2" w14:textId="73A67F49" w:rsidR="0026703A" w:rsidRDefault="0026703A" w:rsidP="0026703A">
      <w:pPr>
        <w:rPr>
          <w:lang w:val="fr-FR"/>
        </w:rPr>
      </w:pPr>
      <w:r w:rsidRPr="0026703A">
        <w:rPr>
          <w:lang w:val="fr-FR"/>
        </w:rPr>
        <w:t>Le recul* arrière</w:t>
      </w:r>
      <w:r>
        <w:rPr>
          <w:lang w:val="fr-FR"/>
        </w:rPr>
        <w:t xml:space="preserve"> des constructions principales*</w:t>
      </w:r>
      <w:r w:rsidRPr="0026703A">
        <w:rPr>
          <w:lang w:val="fr-FR"/>
        </w:rPr>
        <w:t xml:space="preserve"> est de 5,00 m minimum.</w:t>
      </w:r>
    </w:p>
    <w:p w14:paraId="095D1728" w14:textId="689F4A52" w:rsidR="0026703A" w:rsidRDefault="0026703A" w:rsidP="0026703A">
      <w:pPr>
        <w:jc w:val="center"/>
        <w:rPr>
          <w:lang w:val="fr-FR"/>
        </w:rPr>
      </w:pPr>
      <w:r>
        <w:rPr>
          <w:noProof/>
          <w:lang w:val="en-US"/>
        </w:rPr>
        <w:lastRenderedPageBreak/>
        <w:drawing>
          <wp:inline distT="0" distB="0" distL="0" distR="0" wp14:anchorId="2C2609B5" wp14:editId="351458CC">
            <wp:extent cx="1188720" cy="12801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C1ACD8" w14:textId="40746812" w:rsidR="0026703A" w:rsidRPr="0026703A" w:rsidRDefault="0026703A" w:rsidP="0026703A">
      <w:pPr>
        <w:pStyle w:val="Heading2"/>
        <w:rPr>
          <w:lang w:val="fr-FR"/>
        </w:rPr>
      </w:pPr>
      <w:r>
        <w:rPr>
          <w:lang w:val="fr-FR"/>
        </w:rPr>
        <w:t xml:space="preserve">Art. 4.2 </w:t>
      </w:r>
      <w:r w:rsidRPr="0026703A">
        <w:rPr>
          <w:lang w:val="fr-FR"/>
        </w:rPr>
        <w:t>Type et implantation des constructions* hors-sol et sous-s</w:t>
      </w:r>
      <w:r>
        <w:rPr>
          <w:lang w:val="fr-FR"/>
        </w:rPr>
        <w:t>ol*</w:t>
      </w:r>
    </w:p>
    <w:p w14:paraId="4B109E3E" w14:textId="1A7F91B1" w:rsidR="0026703A" w:rsidRPr="0026703A" w:rsidRDefault="0026703A" w:rsidP="0026703A">
      <w:pPr>
        <w:pStyle w:val="Heading3"/>
        <w:rPr>
          <w:lang w:val="fr-FR"/>
        </w:rPr>
      </w:pPr>
      <w:r>
        <w:rPr>
          <w:lang w:val="fr-FR"/>
        </w:rPr>
        <w:t>Art. 4.2.1 Type de constructions*</w:t>
      </w:r>
    </w:p>
    <w:p w14:paraId="57938275" w14:textId="79CDA728" w:rsidR="0026703A" w:rsidRPr="0026703A" w:rsidRDefault="0026703A" w:rsidP="0026703A">
      <w:pPr>
        <w:rPr>
          <w:lang w:val="fr-FR"/>
        </w:rPr>
      </w:pPr>
      <w:r w:rsidRPr="0026703A">
        <w:rPr>
          <w:lang w:val="fr-FR"/>
        </w:rPr>
        <w:t>Les constructions principales* peuvent uniquement êtr</w:t>
      </w:r>
      <w:r>
        <w:rPr>
          <w:lang w:val="fr-FR"/>
        </w:rPr>
        <w:t>e implantées de manière isolée.</w:t>
      </w:r>
    </w:p>
    <w:p w14:paraId="459D8A55" w14:textId="7D854382" w:rsidR="0026703A" w:rsidRDefault="0026703A" w:rsidP="0026703A">
      <w:pPr>
        <w:pStyle w:val="Heading3"/>
        <w:rPr>
          <w:lang w:val="fr-FR"/>
        </w:rPr>
      </w:pPr>
      <w:r>
        <w:rPr>
          <w:lang w:val="fr-FR"/>
        </w:rPr>
        <w:t xml:space="preserve">Art. 4.2.2 </w:t>
      </w:r>
      <w:r w:rsidRPr="0026703A">
        <w:rPr>
          <w:lang w:val="fr-FR"/>
        </w:rPr>
        <w:t>Bande de construction*</w:t>
      </w:r>
    </w:p>
    <w:p w14:paraId="3F38E0A8" w14:textId="77777777" w:rsidR="0026703A" w:rsidRPr="0026703A" w:rsidRDefault="0026703A" w:rsidP="0026703A">
      <w:pPr>
        <w:rPr>
          <w:lang w:val="fr-FR"/>
        </w:rPr>
      </w:pPr>
      <w:r w:rsidRPr="0026703A">
        <w:rPr>
          <w:lang w:val="fr-FR"/>
        </w:rPr>
        <w:t>La bande de construction* est de 22,00 m maximum.</w:t>
      </w:r>
    </w:p>
    <w:p w14:paraId="7C7BBBF2" w14:textId="5CDEF6B6" w:rsidR="0026703A" w:rsidRDefault="0026703A" w:rsidP="0026703A">
      <w:pPr>
        <w:rPr>
          <w:lang w:val="fr-FR"/>
        </w:rPr>
      </w:pPr>
      <w:r w:rsidRPr="0026703A">
        <w:rPr>
          <w:lang w:val="fr-FR"/>
        </w:rPr>
        <w:t>Les avant-corps* doivent être implantés à l’intérieur de la bande de construction*.</w:t>
      </w:r>
    </w:p>
    <w:p w14:paraId="70AB7D21" w14:textId="783AD5E0" w:rsidR="0026703A" w:rsidRDefault="0026703A" w:rsidP="0026703A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5F3098B1" wp14:editId="5DB107B8">
            <wp:extent cx="1298575" cy="13106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2BEB63" w14:textId="1F9915E0" w:rsidR="0026703A" w:rsidRPr="006F7886" w:rsidRDefault="0026703A" w:rsidP="0026703A">
      <w:pPr>
        <w:pStyle w:val="Heading3"/>
        <w:rPr>
          <w:lang w:val="fr-FR"/>
        </w:rPr>
      </w:pPr>
      <w:r w:rsidRPr="006F7886">
        <w:rPr>
          <w:lang w:val="fr-FR"/>
        </w:rPr>
        <w:t>Art. 4.2.3 Profondeur* de la construction* hors-sol et sous-sol*</w:t>
      </w:r>
    </w:p>
    <w:p w14:paraId="24BD24FB" w14:textId="77777777" w:rsidR="0026703A" w:rsidRPr="006F7886" w:rsidRDefault="0026703A" w:rsidP="0026703A">
      <w:pPr>
        <w:rPr>
          <w:lang w:val="fr-FR"/>
        </w:rPr>
      </w:pPr>
      <w:r w:rsidRPr="006F7886">
        <w:rPr>
          <w:lang w:val="fr-FR"/>
        </w:rPr>
        <w:t>Pour les constructions principales*, les profondeurs* autorisées sont les suivantes:</w:t>
      </w:r>
    </w:p>
    <w:p w14:paraId="04413CC9" w14:textId="77777777" w:rsidR="0026703A" w:rsidRPr="006F7886" w:rsidRDefault="0026703A" w:rsidP="0026703A">
      <w:pPr>
        <w:pStyle w:val="ListParagraph"/>
        <w:numPr>
          <w:ilvl w:val="0"/>
          <w:numId w:val="7"/>
        </w:numPr>
        <w:rPr>
          <w:lang w:val="fr-FR"/>
        </w:rPr>
      </w:pPr>
      <w:r w:rsidRPr="006F7886">
        <w:rPr>
          <w:lang w:val="fr-FR"/>
        </w:rPr>
        <w:t xml:space="preserve">La profondeur* maximale du niveau plein* dont le plancher est à hauteur de la voie </w:t>
      </w:r>
      <w:proofErr w:type="spellStart"/>
      <w:r w:rsidRPr="006F7886">
        <w:rPr>
          <w:lang w:val="fr-FR"/>
        </w:rPr>
        <w:t>desservante</w:t>
      </w:r>
      <w:proofErr w:type="spellEnd"/>
      <w:r w:rsidRPr="006F7886">
        <w:rPr>
          <w:lang w:val="fr-FR"/>
        </w:rPr>
        <w:t>* est de 13,00 m.</w:t>
      </w:r>
    </w:p>
    <w:p w14:paraId="4C34B8B9" w14:textId="05AFB5FF" w:rsidR="0026703A" w:rsidRPr="006F7886" w:rsidRDefault="0026703A" w:rsidP="0026703A">
      <w:pPr>
        <w:pStyle w:val="ListParagraph"/>
        <w:numPr>
          <w:ilvl w:val="0"/>
          <w:numId w:val="7"/>
        </w:numPr>
        <w:rPr>
          <w:lang w:val="fr-FR"/>
        </w:rPr>
      </w:pPr>
      <w:r w:rsidRPr="006F7886">
        <w:rPr>
          <w:lang w:val="fr-FR"/>
        </w:rPr>
        <w:t>La profondeur* maximale des autres niveaux est de 15,00 m.</w:t>
      </w:r>
    </w:p>
    <w:p w14:paraId="0523661A" w14:textId="77777777" w:rsidR="0026703A" w:rsidRPr="006F7886" w:rsidRDefault="0026703A" w:rsidP="0026703A">
      <w:pPr>
        <w:pStyle w:val="ListParagraph"/>
        <w:numPr>
          <w:ilvl w:val="0"/>
          <w:numId w:val="7"/>
        </w:numPr>
        <w:rPr>
          <w:lang w:val="fr-FR"/>
        </w:rPr>
      </w:pPr>
      <w:r w:rsidRPr="006F7886">
        <w:rPr>
          <w:lang w:val="fr-FR"/>
        </w:rPr>
        <w:t>Dans les niveaux où une au moins des façades est enterrée sur plus de la moitié de sa surface, le logement* est autorisé dans une profondeur* de 8,00 m mesurée à partir de la façade arrière non enterrée.</w:t>
      </w:r>
    </w:p>
    <w:p w14:paraId="01490D25" w14:textId="66041AFE" w:rsidR="0026703A" w:rsidRPr="006F7886" w:rsidRDefault="0026703A" w:rsidP="0026703A">
      <w:pPr>
        <w:pStyle w:val="ListParagraph"/>
        <w:numPr>
          <w:ilvl w:val="0"/>
          <w:numId w:val="7"/>
        </w:numPr>
        <w:rPr>
          <w:lang w:val="fr-FR"/>
        </w:rPr>
      </w:pPr>
      <w:r w:rsidRPr="006F7886">
        <w:rPr>
          <w:lang w:val="fr-FR"/>
        </w:rPr>
        <w:t>Les terrassements nécessaires à l’implantation des constructions principales ne peuvent pas dépasser 2,00m à partir du terrain naturel. Un levé topo et un plan des terrassements est à joindre à la demande d’autorisation de bâtir.</w:t>
      </w:r>
    </w:p>
    <w:p w14:paraId="468C69D3" w14:textId="38514EC7" w:rsidR="0026703A" w:rsidRDefault="0026703A" w:rsidP="0026703A">
      <w:pPr>
        <w:jc w:val="center"/>
      </w:pPr>
      <w:r>
        <w:rPr>
          <w:noProof/>
          <w:lang w:val="en-US"/>
        </w:rPr>
        <w:drawing>
          <wp:inline distT="0" distB="0" distL="0" distR="0" wp14:anchorId="1A444D38" wp14:editId="0A58C765">
            <wp:extent cx="1688465" cy="981710"/>
            <wp:effectExtent l="0" t="0" r="6985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4802E2" w14:textId="33735DF6" w:rsidR="0026703A" w:rsidRDefault="0026703A" w:rsidP="0026703A"/>
    <w:p w14:paraId="6BE86BF9" w14:textId="01BF8AE5" w:rsidR="00E3568C" w:rsidRPr="006F7886" w:rsidRDefault="00E3568C" w:rsidP="00E3568C">
      <w:pPr>
        <w:pStyle w:val="Heading2"/>
        <w:rPr>
          <w:lang w:val="fr-FR"/>
        </w:rPr>
      </w:pPr>
      <w:r w:rsidRPr="006F7886">
        <w:rPr>
          <w:lang w:val="fr-FR"/>
        </w:rPr>
        <w:t>Art. 4.3 Nombre de niveaux*</w:t>
      </w:r>
    </w:p>
    <w:p w14:paraId="4D3A8CC0" w14:textId="77777777" w:rsidR="00E3568C" w:rsidRPr="006F7886" w:rsidRDefault="00E3568C" w:rsidP="00E3568C">
      <w:pPr>
        <w:rPr>
          <w:lang w:val="fr-FR"/>
        </w:rPr>
      </w:pPr>
      <w:r w:rsidRPr="006F7886">
        <w:rPr>
          <w:lang w:val="fr-FR"/>
        </w:rPr>
        <w:t>Pour les constructions destinées au séjour prolongé de personnes*:</w:t>
      </w:r>
    </w:p>
    <w:p w14:paraId="02B06B62" w14:textId="45143D82" w:rsidR="00E3568C" w:rsidRPr="006F7886" w:rsidRDefault="00E3568C" w:rsidP="00E3568C">
      <w:pPr>
        <w:pStyle w:val="ListParagraph"/>
        <w:numPr>
          <w:ilvl w:val="0"/>
          <w:numId w:val="8"/>
        </w:numPr>
        <w:rPr>
          <w:lang w:val="fr-FR"/>
        </w:rPr>
      </w:pPr>
      <w:r w:rsidRPr="006F7886">
        <w:rPr>
          <w:lang w:val="fr-FR"/>
        </w:rPr>
        <w:lastRenderedPageBreak/>
        <w:t>Le nombre de niveaux* cumulatifs des niveaux pleins* et des niveaux en sous-sol* est de 3 au maximum;</w:t>
      </w:r>
    </w:p>
    <w:p w14:paraId="16CE0927" w14:textId="245597E1" w:rsidR="00E3568C" w:rsidRPr="006F7886" w:rsidRDefault="00E3568C" w:rsidP="00E3568C">
      <w:pPr>
        <w:pStyle w:val="ListParagraph"/>
        <w:numPr>
          <w:ilvl w:val="0"/>
          <w:numId w:val="8"/>
        </w:numPr>
        <w:rPr>
          <w:lang w:val="fr-FR"/>
        </w:rPr>
      </w:pPr>
      <w:r w:rsidRPr="006F7886">
        <w:rPr>
          <w:lang w:val="fr-FR"/>
        </w:rPr>
        <w:t>Les niveaux* dans les combles* ou dans les étages en retrait* sont interdits.</w:t>
      </w:r>
    </w:p>
    <w:p w14:paraId="2C40252C" w14:textId="0DC0AC63" w:rsidR="00E3568C" w:rsidRPr="006F7886" w:rsidRDefault="00E3568C" w:rsidP="00E3568C">
      <w:pPr>
        <w:rPr>
          <w:lang w:val="fr-FR"/>
        </w:rPr>
      </w:pPr>
      <w:r w:rsidRPr="006F7886">
        <w:rPr>
          <w:lang w:val="fr-FR"/>
        </w:rPr>
        <w:t xml:space="preserve">Le plancher du niveau* le plus élevé doit être situé à la même altimétrie que la voie </w:t>
      </w:r>
      <w:proofErr w:type="spellStart"/>
      <w:r w:rsidRPr="006F7886">
        <w:rPr>
          <w:lang w:val="fr-FR"/>
        </w:rPr>
        <w:t>desservante</w:t>
      </w:r>
      <w:proofErr w:type="spellEnd"/>
      <w:r w:rsidRPr="006F7886">
        <w:rPr>
          <w:lang w:val="fr-FR"/>
        </w:rPr>
        <w:t>* de la rue du Lac.</w:t>
      </w:r>
    </w:p>
    <w:p w14:paraId="33A21267" w14:textId="6920B518" w:rsidR="00E3568C" w:rsidRDefault="00E3568C" w:rsidP="00E3568C">
      <w:pPr>
        <w:jc w:val="center"/>
      </w:pPr>
      <w:r>
        <w:rPr>
          <w:noProof/>
          <w:lang w:val="en-US"/>
        </w:rPr>
        <w:drawing>
          <wp:inline distT="0" distB="0" distL="0" distR="0" wp14:anchorId="47F3CEAE" wp14:editId="148822CD">
            <wp:extent cx="1572895" cy="798830"/>
            <wp:effectExtent l="0" t="0" r="8255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89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D0508F" w14:textId="61B2AC9E" w:rsidR="00E3568C" w:rsidRDefault="00E3568C" w:rsidP="00E3568C"/>
    <w:p w14:paraId="1E95246F" w14:textId="4D9D144C" w:rsidR="00E3568C" w:rsidRDefault="00E3568C" w:rsidP="00E3568C">
      <w:pPr>
        <w:pStyle w:val="Heading2"/>
      </w:pPr>
      <w:r>
        <w:t xml:space="preserve">Art. 4.4 </w:t>
      </w:r>
      <w:r w:rsidRPr="00E3568C">
        <w:t>Hauteur des constructions*</w:t>
      </w:r>
    </w:p>
    <w:p w14:paraId="1E208B91" w14:textId="5BD73B01" w:rsidR="00E3568C" w:rsidRPr="006F7886" w:rsidRDefault="00E3568C" w:rsidP="00E3568C">
      <w:pPr>
        <w:rPr>
          <w:lang w:val="fr-FR"/>
        </w:rPr>
      </w:pPr>
      <w:r w:rsidRPr="006F7886">
        <w:rPr>
          <w:lang w:val="fr-FR"/>
        </w:rPr>
        <w:t>Les constructions principales* doivent présenter une hauteur maximale de 4,00 m mesurée depuis le milieu de la façade, entre l’altimétrie du trottoir rue du Lac longeant la limite avant de la parcelle* et le point le plus haut de la construction.</w:t>
      </w:r>
    </w:p>
    <w:p w14:paraId="6AFF6DC7" w14:textId="7F7A0836" w:rsidR="00E3568C" w:rsidRDefault="00E3568C" w:rsidP="00E3568C">
      <w:pPr>
        <w:jc w:val="center"/>
      </w:pPr>
      <w:r>
        <w:rPr>
          <w:noProof/>
          <w:lang w:val="en-US"/>
        </w:rPr>
        <w:drawing>
          <wp:inline distT="0" distB="0" distL="0" distR="0" wp14:anchorId="3C1173A3" wp14:editId="0603B004">
            <wp:extent cx="1627505" cy="8413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99EDC4" w14:textId="77777777" w:rsidR="00E3568C" w:rsidRDefault="00E3568C" w:rsidP="00E3568C"/>
    <w:p w14:paraId="4214D2C3" w14:textId="1E4606A7" w:rsidR="00E3568C" w:rsidRPr="006F7886" w:rsidRDefault="00E3568C" w:rsidP="00E3568C">
      <w:pPr>
        <w:pStyle w:val="Heading2"/>
        <w:rPr>
          <w:lang w:val="fr-FR"/>
        </w:rPr>
      </w:pPr>
      <w:r w:rsidRPr="006F7886">
        <w:rPr>
          <w:lang w:val="fr-FR"/>
        </w:rPr>
        <w:t>Art. 4.5 Toiture</w:t>
      </w:r>
    </w:p>
    <w:p w14:paraId="21D27D35" w14:textId="475628B0" w:rsidR="00E3568C" w:rsidRPr="006F7886" w:rsidRDefault="00E3568C" w:rsidP="00E3568C">
      <w:pPr>
        <w:pStyle w:val="Heading3"/>
        <w:rPr>
          <w:lang w:val="fr-FR"/>
        </w:rPr>
      </w:pPr>
      <w:r w:rsidRPr="006F7886">
        <w:rPr>
          <w:lang w:val="fr-FR"/>
        </w:rPr>
        <w:t>Art. 4.5.1 Forme de toiture</w:t>
      </w:r>
    </w:p>
    <w:p w14:paraId="07DA1E13" w14:textId="77777777" w:rsidR="00E3568C" w:rsidRPr="006F7886" w:rsidRDefault="00E3568C" w:rsidP="00E3568C">
      <w:pPr>
        <w:rPr>
          <w:lang w:val="fr-FR"/>
        </w:rPr>
      </w:pPr>
      <w:r w:rsidRPr="006F7886">
        <w:rPr>
          <w:lang w:val="fr-FR"/>
        </w:rPr>
        <w:t>Pour les constructions principales* seules sont autorisées les formes de toiture suivantes:</w:t>
      </w:r>
    </w:p>
    <w:p w14:paraId="448A3111" w14:textId="403F069B" w:rsidR="00E3568C" w:rsidRPr="006F7886" w:rsidRDefault="00E3568C" w:rsidP="00E3568C">
      <w:pPr>
        <w:pStyle w:val="ListParagraph"/>
        <w:numPr>
          <w:ilvl w:val="0"/>
          <w:numId w:val="9"/>
        </w:numPr>
        <w:rPr>
          <w:lang w:val="fr-FR"/>
        </w:rPr>
      </w:pPr>
      <w:r w:rsidRPr="006F7886">
        <w:rPr>
          <w:lang w:val="fr-FR"/>
        </w:rPr>
        <w:t>Les toitures à un seul versant avec une pente limitée à 15° et orientée dans le sens de la pente du terrain naturel Est-Ouest;</w:t>
      </w:r>
    </w:p>
    <w:p w14:paraId="4CED449F" w14:textId="7828230D" w:rsidR="00E3568C" w:rsidRDefault="00E3568C" w:rsidP="00E3568C">
      <w:pPr>
        <w:jc w:val="center"/>
      </w:pPr>
      <w:r w:rsidRPr="002D5D93">
        <w:rPr>
          <w:noProof/>
          <w:lang w:val="en-US"/>
        </w:rPr>
        <w:drawing>
          <wp:inline distT="0" distB="0" distL="0" distR="0" wp14:anchorId="36D59EFC" wp14:editId="3C410DBA">
            <wp:extent cx="946800" cy="457200"/>
            <wp:effectExtent l="0" t="0" r="5715" b="0"/>
            <wp:docPr id="476" name="Image 476" descr="\\SRVFILE04\Data EP\Datas\04_DATA_URBA_LU\00_DOSSIER-PAG_DOCUMENTS_MODELES\LOI-2011\PAP-QE\Schémas\170915_EP_PAPQE_TOITURES_1pe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FILE04\Data EP\Datas\04_DATA_URBA_LU\00_DOSSIER-PAG_DOCUMENTS_MODELES\LOI-2011\PAP-QE\Schémas\170915_EP_PAPQE_TOITURES_1pent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3C96B" w14:textId="26B86CCB" w:rsidR="00E3568C" w:rsidRPr="006F7886" w:rsidRDefault="00E3568C" w:rsidP="00E3568C">
      <w:pPr>
        <w:pStyle w:val="ListParagraph"/>
        <w:numPr>
          <w:ilvl w:val="0"/>
          <w:numId w:val="9"/>
        </w:numPr>
        <w:rPr>
          <w:lang w:val="fr-FR"/>
        </w:rPr>
      </w:pPr>
      <w:r w:rsidRPr="006F7886">
        <w:rPr>
          <w:lang w:val="fr-FR"/>
        </w:rPr>
        <w:t>Les toitures plates. Elles peuvent être aménagées en toiture végétale. La toiture du dernier niveau* ne peut pas être aménagée en toiture terrasse.</w:t>
      </w:r>
    </w:p>
    <w:p w14:paraId="0C326185" w14:textId="2D237CE0" w:rsidR="00E3568C" w:rsidRDefault="00E3568C" w:rsidP="00E3568C">
      <w:pPr>
        <w:jc w:val="center"/>
      </w:pPr>
      <w:r>
        <w:rPr>
          <w:noProof/>
          <w:lang w:val="en-US"/>
        </w:rPr>
        <w:drawing>
          <wp:inline distT="0" distB="0" distL="0" distR="0" wp14:anchorId="72A3B367" wp14:editId="7C9A56F7">
            <wp:extent cx="914400" cy="52451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7A5DBD" w14:textId="77777777" w:rsidR="00E3568C" w:rsidRDefault="00E3568C" w:rsidP="00E3568C"/>
    <w:p w14:paraId="53401D4E" w14:textId="557964F9" w:rsidR="00E3568C" w:rsidRPr="006F7886" w:rsidRDefault="00E3568C" w:rsidP="00E3568C">
      <w:pPr>
        <w:pStyle w:val="Heading3"/>
        <w:rPr>
          <w:lang w:val="fr-FR"/>
        </w:rPr>
      </w:pPr>
      <w:r w:rsidRPr="006F7886">
        <w:rPr>
          <w:lang w:val="fr-FR"/>
        </w:rPr>
        <w:t>Art. 4.5.2 Ouvertures en toiture</w:t>
      </w:r>
    </w:p>
    <w:p w14:paraId="34E0AAA2" w14:textId="5F967928" w:rsidR="00E3568C" w:rsidRPr="006F7886" w:rsidRDefault="00E3568C" w:rsidP="00E3568C">
      <w:pPr>
        <w:rPr>
          <w:lang w:val="fr-FR"/>
        </w:rPr>
      </w:pPr>
      <w:r w:rsidRPr="006F7886">
        <w:rPr>
          <w:lang w:val="fr-FR"/>
        </w:rPr>
        <w:t>Seules les ouvertures situées dans le même plan d’inclinaison que la toiture sont autorisées (type velux, tabatières, verrières...).</w:t>
      </w:r>
    </w:p>
    <w:p w14:paraId="2AB2ED71" w14:textId="1472496F" w:rsidR="00E3568C" w:rsidRPr="006F7886" w:rsidRDefault="00E3568C" w:rsidP="00E3568C">
      <w:pPr>
        <w:rPr>
          <w:lang w:val="fr-FR"/>
        </w:rPr>
      </w:pPr>
      <w:r w:rsidRPr="006F7886">
        <w:rPr>
          <w:lang w:val="fr-FR"/>
        </w:rPr>
        <w:lastRenderedPageBreak/>
        <w:t>Les ouvertures en toiture doivent se trouver au minimum à 1,00 m des bords latéraux de la toiture.</w:t>
      </w:r>
    </w:p>
    <w:p w14:paraId="7F77D2A1" w14:textId="4B0D8F0E" w:rsidR="00E3568C" w:rsidRDefault="00E3568C" w:rsidP="00E3568C">
      <w:pPr>
        <w:jc w:val="center"/>
      </w:pPr>
      <w:r>
        <w:rPr>
          <w:noProof/>
          <w:lang w:val="en-US"/>
        </w:rPr>
        <w:drawing>
          <wp:inline distT="0" distB="0" distL="0" distR="0" wp14:anchorId="746C6890" wp14:editId="5E531794">
            <wp:extent cx="1115695" cy="713105"/>
            <wp:effectExtent l="0" t="0" r="825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5E45A" w14:textId="13FA9522" w:rsidR="00E3568C" w:rsidRPr="006F7886" w:rsidRDefault="00E3568C" w:rsidP="00E3568C">
      <w:pPr>
        <w:rPr>
          <w:lang w:val="fr-FR"/>
        </w:rPr>
      </w:pPr>
      <w:r w:rsidRPr="006F7886">
        <w:rPr>
          <w:lang w:val="fr-FR"/>
        </w:rPr>
        <w:t>La somme des ouvertures en toiture ne peut pas dépasser les 50% de la largeur de la façade.</w:t>
      </w:r>
    </w:p>
    <w:p w14:paraId="0F37E41A" w14:textId="7744C338" w:rsidR="00E3568C" w:rsidRDefault="00E3568C" w:rsidP="00E3568C">
      <w:pPr>
        <w:jc w:val="center"/>
      </w:pPr>
      <w:r>
        <w:rPr>
          <w:noProof/>
          <w:lang w:val="en-US"/>
        </w:rPr>
        <w:drawing>
          <wp:inline distT="0" distB="0" distL="0" distR="0" wp14:anchorId="35F37E9A" wp14:editId="0149D5A5">
            <wp:extent cx="1085215" cy="743585"/>
            <wp:effectExtent l="0" t="0" r="63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C0DEDD" w14:textId="75984AEF" w:rsidR="00E3568C" w:rsidRDefault="00E3568C" w:rsidP="00E3568C">
      <w:pPr>
        <w:pStyle w:val="Heading3"/>
      </w:pPr>
      <w:r>
        <w:t>Art. 4.5.3 Superstructures</w:t>
      </w:r>
    </w:p>
    <w:p w14:paraId="166DEB64" w14:textId="4B947559" w:rsidR="00E3568C" w:rsidRPr="006F7886" w:rsidRDefault="00E3568C" w:rsidP="00E3568C">
      <w:pPr>
        <w:rPr>
          <w:lang w:val="fr-FR"/>
        </w:rPr>
      </w:pPr>
      <w:r w:rsidRPr="006F7886">
        <w:rPr>
          <w:lang w:val="fr-FR"/>
        </w:rPr>
        <w:t>A l’exception des souches de cheminées et de ventilation et des rampes d’appui, toutes les superstructures des constructions*, notamment les équipements de conditionnement d’air, les antennes et installations techniques (capteurs solaires…) ne peut dépasser la hauteur du toit de plu</w:t>
      </w:r>
      <w:r w:rsidR="00B331E6" w:rsidRPr="006F7886">
        <w:rPr>
          <w:lang w:val="fr-FR"/>
        </w:rPr>
        <w:t>s de 1m50.</w:t>
      </w:r>
    </w:p>
    <w:p w14:paraId="11EC19E5" w14:textId="356D34AC" w:rsidR="00E3568C" w:rsidRPr="006F7886" w:rsidRDefault="00B331E6" w:rsidP="00B331E6">
      <w:pPr>
        <w:pStyle w:val="Heading2"/>
        <w:rPr>
          <w:lang w:val="fr-FR"/>
        </w:rPr>
      </w:pPr>
      <w:r w:rsidRPr="006F7886">
        <w:rPr>
          <w:lang w:val="fr-FR"/>
        </w:rPr>
        <w:t>Art. 4.6 Nombre d’unités de logement*</w:t>
      </w:r>
    </w:p>
    <w:p w14:paraId="24024421" w14:textId="17CD473F" w:rsidR="00E3568C" w:rsidRPr="006F7886" w:rsidRDefault="00E3568C" w:rsidP="00E3568C">
      <w:pPr>
        <w:rPr>
          <w:lang w:val="fr-FR"/>
        </w:rPr>
      </w:pPr>
      <w:r w:rsidRPr="006F7886">
        <w:rPr>
          <w:lang w:val="fr-FR"/>
        </w:rPr>
        <w:t>Par parcelle*, le nombre d’unités de logement* est limité à 1 lo</w:t>
      </w:r>
      <w:r w:rsidR="00B331E6" w:rsidRPr="006F7886">
        <w:rPr>
          <w:lang w:val="fr-FR"/>
        </w:rPr>
        <w:t>gement* + 1 logement intégré*.</w:t>
      </w:r>
    </w:p>
    <w:p w14:paraId="3932E8B2" w14:textId="38F2C0FA" w:rsidR="00B331E6" w:rsidRPr="006F7886" w:rsidRDefault="00B331E6" w:rsidP="00B331E6">
      <w:pPr>
        <w:pStyle w:val="Heading2"/>
        <w:rPr>
          <w:lang w:val="fr-FR"/>
        </w:rPr>
      </w:pPr>
      <w:r w:rsidRPr="006F7886">
        <w:rPr>
          <w:lang w:val="fr-FR"/>
        </w:rPr>
        <w:t>Art. 4.7 Emplacements de stationnement en surface et à l’intérieur des constructions*</w:t>
      </w:r>
    </w:p>
    <w:p w14:paraId="45A26802" w14:textId="202A3B95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t>Le nombre d’emplacements de stationnements minimum est déterminé dans la partie écrite du PAG.</w:t>
      </w:r>
    </w:p>
    <w:p w14:paraId="0C63532A" w14:textId="0F3C970D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t>Les stationnements requis sont à aménager sur la même parcelle* que la construction principale* à laquelle ils se rapportent et doivent être implantés à l’intérieur de la bande de construction*.</w:t>
      </w:r>
    </w:p>
    <w:p w14:paraId="3DC18911" w14:textId="227B91FC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t xml:space="preserve">Les stationnements doivent se situer au niveau du RDC, à niveau avec la voie </w:t>
      </w:r>
      <w:proofErr w:type="spellStart"/>
      <w:r w:rsidRPr="006F7886">
        <w:rPr>
          <w:lang w:val="fr-FR"/>
        </w:rPr>
        <w:t>desservante</w:t>
      </w:r>
      <w:proofErr w:type="spellEnd"/>
      <w:r w:rsidRPr="006F7886">
        <w:rPr>
          <w:lang w:val="fr-FR"/>
        </w:rPr>
        <w:t>* de la rue du Lac.</w:t>
      </w:r>
    </w:p>
    <w:p w14:paraId="53E20FD6" w14:textId="0AE8FB21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t>Les emplacements extérieurs de stationnement doivent être aménagés de manière perméable*.</w:t>
      </w:r>
    </w:p>
    <w:p w14:paraId="54D34560" w14:textId="45871FEA" w:rsidR="00B331E6" w:rsidRDefault="00B331E6" w:rsidP="00B331E6">
      <w:pPr>
        <w:pStyle w:val="Heading2"/>
      </w:pPr>
      <w:r>
        <w:t xml:space="preserve">Art. 4.8 </w:t>
      </w:r>
      <w:proofErr w:type="spellStart"/>
      <w:r>
        <w:t>Dépendances</w:t>
      </w:r>
      <w:proofErr w:type="spellEnd"/>
      <w:r>
        <w:t>*</w:t>
      </w:r>
    </w:p>
    <w:p w14:paraId="481943F9" w14:textId="11B67AF2" w:rsidR="00B331E6" w:rsidRPr="006F7886" w:rsidRDefault="00B331E6" w:rsidP="00B331E6">
      <w:pPr>
        <w:pStyle w:val="Heading3"/>
        <w:rPr>
          <w:lang w:val="fr-FR"/>
        </w:rPr>
      </w:pPr>
      <w:r w:rsidRPr="006F7886">
        <w:rPr>
          <w:lang w:val="fr-FR"/>
        </w:rPr>
        <w:t>Art. 4.8.1 Garages et car-ports*</w:t>
      </w:r>
    </w:p>
    <w:p w14:paraId="0C5187F8" w14:textId="77777777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t>Les garages et car-ports* doivent présenter une hauteur maximale de 3,00 m.</w:t>
      </w:r>
    </w:p>
    <w:p w14:paraId="51CDDB5E" w14:textId="77777777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t>Seules les toitures suivantes sont autorisées:</w:t>
      </w:r>
    </w:p>
    <w:p w14:paraId="7B514A42" w14:textId="77777777" w:rsidR="00B331E6" w:rsidRPr="006F7886" w:rsidRDefault="00B331E6" w:rsidP="00B331E6">
      <w:pPr>
        <w:pStyle w:val="ListParagraph"/>
        <w:numPr>
          <w:ilvl w:val="0"/>
          <w:numId w:val="9"/>
        </w:numPr>
        <w:rPr>
          <w:lang w:val="fr-FR"/>
        </w:rPr>
      </w:pPr>
      <w:r w:rsidRPr="006F7886">
        <w:rPr>
          <w:lang w:val="fr-FR"/>
        </w:rPr>
        <w:t>Les toitures à un seul versant avec une pente limitée à 15° et orientée dans le sens de la pente du terrain naturel Est-Ouest.</w:t>
      </w:r>
    </w:p>
    <w:p w14:paraId="374F51A9" w14:textId="41C9F1E2" w:rsidR="00B331E6" w:rsidRDefault="00B331E6" w:rsidP="00B331E6">
      <w:pPr>
        <w:pStyle w:val="ListParagraph"/>
        <w:numPr>
          <w:ilvl w:val="0"/>
          <w:numId w:val="9"/>
        </w:numPr>
      </w:pPr>
      <w:r w:rsidRPr="006F7886">
        <w:rPr>
          <w:lang w:val="fr-FR"/>
        </w:rPr>
        <w:t xml:space="preserve">Les toitures plates. Elles peuvent être aménagées en toiture végétale. </w:t>
      </w:r>
      <w:r>
        <w:t xml:space="preserve">Les </w:t>
      </w:r>
      <w:proofErr w:type="spellStart"/>
      <w:r>
        <w:t>toitures</w:t>
      </w:r>
      <w:proofErr w:type="spellEnd"/>
      <w:r>
        <w:t xml:space="preserve"> </w:t>
      </w:r>
      <w:proofErr w:type="spellStart"/>
      <w:r>
        <w:t>terrasses</w:t>
      </w:r>
      <w:proofErr w:type="spellEnd"/>
      <w:r>
        <w:t xml:space="preserve">*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interdites</w:t>
      </w:r>
      <w:proofErr w:type="spellEnd"/>
      <w:r>
        <w:t>.</w:t>
      </w:r>
    </w:p>
    <w:p w14:paraId="0DCFA04F" w14:textId="77777777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lastRenderedPageBreak/>
        <w:t xml:space="preserve">Les garages et car-ports* doivent être implantés à l’intérieur de la bande de construction* et doivent se situer à niveau avec la voie </w:t>
      </w:r>
      <w:proofErr w:type="spellStart"/>
      <w:r w:rsidRPr="006F7886">
        <w:rPr>
          <w:lang w:val="fr-FR"/>
        </w:rPr>
        <w:t>desservante</w:t>
      </w:r>
      <w:proofErr w:type="spellEnd"/>
      <w:r w:rsidRPr="006F7886">
        <w:rPr>
          <w:lang w:val="fr-FR"/>
        </w:rPr>
        <w:t>* de la rue du Lac.</w:t>
      </w:r>
    </w:p>
    <w:p w14:paraId="3F85EF98" w14:textId="507FD7C8" w:rsidR="006F7886" w:rsidRPr="006F7886" w:rsidRDefault="00B331E6" w:rsidP="00B331E6">
      <w:pPr>
        <w:rPr>
          <w:lang w:val="fr-FR"/>
        </w:rPr>
      </w:pPr>
      <w:r w:rsidRPr="006F7886">
        <w:rPr>
          <w:lang w:val="fr-FR"/>
        </w:rPr>
        <w:t>Un recul* d’au moins 2,00 m est à respecter par rapport aux limites latérales de la parcelle*. Une implantation en limite de parcelle* est autorisée si un accord entre voisins* est établit.</w:t>
      </w:r>
    </w:p>
    <w:p w14:paraId="002D38A8" w14:textId="081E5853" w:rsidR="00B331E6" w:rsidRPr="006F7886" w:rsidRDefault="006F7886" w:rsidP="006F7886">
      <w:pPr>
        <w:pStyle w:val="Heading3"/>
        <w:rPr>
          <w:lang w:val="fr-FR"/>
        </w:rPr>
      </w:pPr>
      <w:r>
        <w:rPr>
          <w:lang w:val="fr-FR"/>
        </w:rPr>
        <w:t xml:space="preserve">Art. 4.8.2 </w:t>
      </w:r>
      <w:r w:rsidR="00B331E6" w:rsidRPr="006F7886">
        <w:rPr>
          <w:lang w:val="fr-FR"/>
        </w:rPr>
        <w:t>Abris de jardin*</w:t>
      </w:r>
    </w:p>
    <w:p w14:paraId="66CD4FF2" w14:textId="51681ECC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t>Les abris de jardin* et constructions* similaires peuvent avoir une hauteur de 3,00 m maximum, mesuré au point le plus élevé de la construction* par rapport au niveau du terrain* après travaux de modelage du terrain.</w:t>
      </w:r>
    </w:p>
    <w:p w14:paraId="6D80F59E" w14:textId="77777777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t>Ils doivent être implantés uniquement à l’arrière de la construction principale*.</w:t>
      </w:r>
    </w:p>
    <w:p w14:paraId="075B8E29" w14:textId="77777777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t>Un recul* d’au moins 2,00 m est à respecter par rapport à la limite arrière et latérale de la parcelle*. Les dépendances* peuvent être implantées en limite de parcelle* avec un accord entre voisins*.</w:t>
      </w:r>
    </w:p>
    <w:p w14:paraId="0E8AFAE0" w14:textId="40773D88" w:rsidR="00B331E6" w:rsidRPr="006F7886" w:rsidRDefault="00B331E6" w:rsidP="00B331E6">
      <w:pPr>
        <w:rPr>
          <w:lang w:val="fr-FR"/>
        </w:rPr>
      </w:pPr>
      <w:r w:rsidRPr="006F7886">
        <w:rPr>
          <w:lang w:val="fr-FR"/>
        </w:rPr>
        <w:t>Un recul* d’au moins 3,00 m est à respecter par rapport</w:t>
      </w:r>
      <w:r w:rsidR="006F7886">
        <w:rPr>
          <w:lang w:val="fr-FR"/>
        </w:rPr>
        <w:t xml:space="preserve"> à la construction principale*.</w:t>
      </w:r>
    </w:p>
    <w:p w14:paraId="663A2A0E" w14:textId="227EECEE" w:rsidR="00B331E6" w:rsidRDefault="00B331E6" w:rsidP="00B331E6">
      <w:pPr>
        <w:rPr>
          <w:lang w:val="fr-FR"/>
        </w:rPr>
      </w:pPr>
      <w:r w:rsidRPr="006F7886">
        <w:rPr>
          <w:lang w:val="fr-FR"/>
        </w:rPr>
        <w:t>Leurs surfaces cumulées ne peuvent dépasser les 20,00 m</w:t>
      </w:r>
      <w:r w:rsidRPr="006F7886">
        <w:rPr>
          <w:vertAlign w:val="superscript"/>
          <w:lang w:val="fr-FR"/>
        </w:rPr>
        <w:t>2</w:t>
      </w:r>
      <w:r w:rsidR="006F7886">
        <w:rPr>
          <w:lang w:val="fr-FR"/>
        </w:rPr>
        <w:t>.</w:t>
      </w:r>
    </w:p>
    <w:p w14:paraId="24DADAD9" w14:textId="4357D36A" w:rsidR="006F7886" w:rsidRPr="006F7886" w:rsidRDefault="006F7886" w:rsidP="006F7886">
      <w:pPr>
        <w:pStyle w:val="Heading2"/>
        <w:rPr>
          <w:lang w:val="fr-FR"/>
        </w:rPr>
      </w:pPr>
      <w:r>
        <w:rPr>
          <w:lang w:val="fr-FR"/>
        </w:rPr>
        <w:t xml:space="preserve">Art. 4.9 </w:t>
      </w:r>
      <w:r w:rsidRPr="006F7886">
        <w:rPr>
          <w:lang w:val="fr-FR"/>
        </w:rPr>
        <w:t>Espace libre de</w:t>
      </w:r>
      <w:r>
        <w:rPr>
          <w:lang w:val="fr-FR"/>
        </w:rPr>
        <w:t>s parcelles*</w:t>
      </w:r>
    </w:p>
    <w:p w14:paraId="7B0A7A90" w14:textId="77777777" w:rsidR="006F7886" w:rsidRPr="006F7886" w:rsidRDefault="006F7886" w:rsidP="006F7886">
      <w:pPr>
        <w:rPr>
          <w:lang w:val="fr-FR"/>
        </w:rPr>
      </w:pPr>
      <w:r w:rsidRPr="006F7886">
        <w:rPr>
          <w:lang w:val="fr-FR"/>
        </w:rPr>
        <w:t>Les marges de recul* avant et latéral doivent être aménagées en jardin d’agrément à l’exception des chemins d’accès nécessaires et emplacements de stationnement.</w:t>
      </w:r>
    </w:p>
    <w:p w14:paraId="7A543356" w14:textId="7BF624BF" w:rsidR="006F7886" w:rsidRDefault="006F7886" w:rsidP="006F7886">
      <w:pPr>
        <w:rPr>
          <w:lang w:val="fr-FR"/>
        </w:rPr>
      </w:pPr>
      <w:r w:rsidRPr="006F7886">
        <w:rPr>
          <w:lang w:val="fr-FR"/>
        </w:rPr>
        <w:t xml:space="preserve">Les limites de parcelle* avant, marquant la séparation entre l’espace public et l’espace privé, sont à traiter de façon harmonieuse sur l’ensemble des parcelles* composant le quartier existant </w:t>
      </w:r>
      <w:r>
        <w:rPr>
          <w:lang w:val="fr-FR"/>
        </w:rPr>
        <w:t>« </w:t>
      </w:r>
      <w:r w:rsidRPr="006F7886">
        <w:rPr>
          <w:lang w:val="fr-FR"/>
        </w:rPr>
        <w:t xml:space="preserve">HAB-1: Forte pente* – rue du Lac à </w:t>
      </w:r>
      <w:proofErr w:type="spellStart"/>
      <w:r w:rsidRPr="006F7886">
        <w:rPr>
          <w:lang w:val="fr-FR"/>
        </w:rPr>
        <w:t>Bivels</w:t>
      </w:r>
      <w:proofErr w:type="spellEnd"/>
      <w:r>
        <w:rPr>
          <w:lang w:val="fr-FR"/>
        </w:rPr>
        <w:t> »</w:t>
      </w:r>
    </w:p>
    <w:p w14:paraId="7F3EE303" w14:textId="6DF77442" w:rsidR="006F7886" w:rsidRDefault="006F7886" w:rsidP="006F7886">
      <w:pPr>
        <w:rPr>
          <w:lang w:val="fr-FR"/>
        </w:rPr>
      </w:pPr>
      <w:r w:rsidRPr="006F7886">
        <w:rPr>
          <w:lang w:val="fr-FR"/>
        </w:rPr>
        <w:t>Au maximum 65 % des marges de recul* arrière, situées dans le quartier existant, peuvent être scellées*.</w:t>
      </w:r>
    </w:p>
    <w:p w14:paraId="4933F260" w14:textId="4756724C" w:rsidR="006F7886" w:rsidRDefault="006F7886" w:rsidP="006F7886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26A0B8F" wp14:editId="3F4B505A">
            <wp:extent cx="1195070" cy="1463040"/>
            <wp:effectExtent l="0" t="0" r="508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79E265" w14:textId="77777777" w:rsidR="006F7886" w:rsidRPr="006F7886" w:rsidRDefault="006F7886" w:rsidP="006F7886">
      <w:pPr>
        <w:pStyle w:val="Heading2"/>
        <w:rPr>
          <w:lang w:val="fr-FR"/>
        </w:rPr>
      </w:pPr>
      <w:r>
        <w:rPr>
          <w:lang w:val="fr-FR"/>
        </w:rPr>
        <w:t xml:space="preserve">Art. 4.10 </w:t>
      </w:r>
      <w:r w:rsidRPr="006F7886">
        <w:rPr>
          <w:lang w:val="fr-FR"/>
        </w:rPr>
        <w:t>Modelage de terrain et murs de soutènement</w:t>
      </w:r>
    </w:p>
    <w:p w14:paraId="468BC744" w14:textId="67628B90" w:rsidR="006F7886" w:rsidRPr="006F7886" w:rsidRDefault="006F7886" w:rsidP="006F7886">
      <w:pPr>
        <w:rPr>
          <w:lang w:val="fr-FR"/>
        </w:rPr>
      </w:pPr>
      <w:r w:rsidRPr="006F7886">
        <w:rPr>
          <w:lang w:val="fr-FR"/>
        </w:rPr>
        <w:t>Les modelages de terrain sont interdits dans une bande de 2m de large le long des limites parcellaires latérales et arrières, sauf pour les modelages de terrain ré</w:t>
      </w:r>
      <w:r>
        <w:rPr>
          <w:lang w:val="fr-FR"/>
        </w:rPr>
        <w:t>alisés en commun entre voisins.</w:t>
      </w:r>
    </w:p>
    <w:p w14:paraId="6CA3A74B" w14:textId="4A90F265" w:rsidR="006F7886" w:rsidRPr="006F7886" w:rsidRDefault="006F7886" w:rsidP="006F7886">
      <w:pPr>
        <w:rPr>
          <w:lang w:val="fr-FR"/>
        </w:rPr>
      </w:pPr>
      <w:r w:rsidRPr="006F7886">
        <w:rPr>
          <w:lang w:val="fr-FR"/>
        </w:rPr>
        <w:t>Dans tous les cas, les modelages de terrain doivent faire l’objet d’une autorisation de construire. Un levé topo et un plan des terrassements est à joindre à la demande d’autorisation de bâtir.</w:t>
      </w:r>
    </w:p>
    <w:p w14:paraId="44530F0F" w14:textId="35AFF9CA" w:rsidR="006F7886" w:rsidRPr="006F7886" w:rsidRDefault="006F7886" w:rsidP="006F7886">
      <w:pPr>
        <w:rPr>
          <w:lang w:val="fr-FR"/>
        </w:rPr>
      </w:pPr>
      <w:r w:rsidRPr="006F7886">
        <w:rPr>
          <w:lang w:val="fr-FR"/>
        </w:rPr>
        <w:lastRenderedPageBreak/>
        <w:t>Les travaux d’aménagement des alentours doivent être exécutés avant le commencement des travaux.</w:t>
      </w:r>
    </w:p>
    <w:p w14:paraId="546BB1E0" w14:textId="3B0E7FD8" w:rsidR="006F7886" w:rsidRPr="006F7886" w:rsidRDefault="006F7886" w:rsidP="006F7886">
      <w:pPr>
        <w:rPr>
          <w:lang w:val="fr-FR"/>
        </w:rPr>
      </w:pPr>
      <w:r w:rsidRPr="006F7886">
        <w:rPr>
          <w:lang w:val="fr-FR"/>
        </w:rPr>
        <w:t xml:space="preserve">Dans </w:t>
      </w:r>
      <w:proofErr w:type="gramStart"/>
      <w:r w:rsidRPr="006F7886">
        <w:rPr>
          <w:lang w:val="fr-FR"/>
        </w:rPr>
        <w:t>les espace libres</w:t>
      </w:r>
      <w:proofErr w:type="gramEnd"/>
      <w:r w:rsidRPr="006F7886">
        <w:rPr>
          <w:lang w:val="fr-FR"/>
        </w:rPr>
        <w:t xml:space="preserve"> de la parcelle*, les déblais et les remblais ne doivent pas dépasser 1m50 de haut par rapport au terrain naturel.</w:t>
      </w:r>
    </w:p>
    <w:p w14:paraId="600090CE" w14:textId="25996BDF" w:rsidR="006F7886" w:rsidRPr="006F7886" w:rsidRDefault="006F7886" w:rsidP="006F7886">
      <w:pPr>
        <w:rPr>
          <w:lang w:val="fr-FR"/>
        </w:rPr>
      </w:pPr>
      <w:r w:rsidRPr="006F7886">
        <w:rPr>
          <w:lang w:val="fr-FR"/>
        </w:rPr>
        <w:t xml:space="preserve">Les murs de soutènement ne doivent pas dépasser 1m50 de haut et doivent être réalisés </w:t>
      </w:r>
      <w:r>
        <w:rPr>
          <w:lang w:val="fr-FR"/>
        </w:rPr>
        <w:t>en pierres sèches de la région.</w:t>
      </w:r>
      <w:bookmarkStart w:id="0" w:name="_GoBack"/>
      <w:bookmarkEnd w:id="0"/>
    </w:p>
    <w:sectPr w:rsidR="006F7886" w:rsidRPr="006F78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4F67"/>
    <w:multiLevelType w:val="hybridMultilevel"/>
    <w:tmpl w:val="B18E4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BF52EA"/>
    <w:multiLevelType w:val="hybridMultilevel"/>
    <w:tmpl w:val="C2C82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7782"/>
    <w:multiLevelType w:val="hybridMultilevel"/>
    <w:tmpl w:val="14F8F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6703A"/>
    <w:rsid w:val="00387019"/>
    <w:rsid w:val="0039622D"/>
    <w:rsid w:val="00397462"/>
    <w:rsid w:val="003A681A"/>
    <w:rsid w:val="005D1D9B"/>
    <w:rsid w:val="006605E2"/>
    <w:rsid w:val="006653E2"/>
    <w:rsid w:val="006F7886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331E6"/>
    <w:rsid w:val="00C10C63"/>
    <w:rsid w:val="00C85115"/>
    <w:rsid w:val="00CB2FE8"/>
    <w:rsid w:val="00CF3132"/>
    <w:rsid w:val="00D35FE3"/>
    <w:rsid w:val="00E3568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2021-03-18T07:42:00Z</dcterms:modified>
</cp:coreProperties>
</file>