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B8CA3" w14:textId="16A964B2" w:rsidR="001260C8" w:rsidRDefault="001260C8" w:rsidP="001260C8">
      <w:pPr>
        <w:pStyle w:val="Title"/>
      </w:pPr>
      <w:r>
        <w:t>D. Règles spécifiques applicables au PAP « QE – activités » (QE_A)</w:t>
      </w:r>
    </w:p>
    <w:p w14:paraId="0AAF14F9" w14:textId="77777777" w:rsidR="001260C8" w:rsidRDefault="001260C8" w:rsidP="001260C8">
      <w:pPr>
        <w:pStyle w:val="Heading1"/>
      </w:pPr>
      <w:r>
        <w:t>Art. 24 Champ d’application</w:t>
      </w:r>
    </w:p>
    <w:p w14:paraId="5FC0A54B" w14:textId="09A061EB" w:rsidR="008E3A56" w:rsidRDefault="001260C8" w:rsidP="001260C8">
      <w:r>
        <w:t>Les délimitations du plan d’aménagement particulier « quartier existant – activités » sont fixées en partie graphique.</w:t>
      </w:r>
      <w:bookmarkStart w:id="0" w:name="_GoBack"/>
      <w:bookmarkEnd w:id="0"/>
    </w:p>
    <w:p w14:paraId="77F4A56B" w14:textId="77777777" w:rsidR="001260C8" w:rsidRDefault="001260C8" w:rsidP="001260C8">
      <w:pPr>
        <w:pStyle w:val="Heading1"/>
      </w:pPr>
      <w:r>
        <w:t>Art. 25 Type des constructions</w:t>
      </w:r>
    </w:p>
    <w:p w14:paraId="7F7AF4D3" w14:textId="1A75868A" w:rsidR="001260C8" w:rsidRDefault="001260C8" w:rsidP="001260C8">
      <w:pPr>
        <w:pStyle w:val="ListParagraph"/>
        <w:numPr>
          <w:ilvl w:val="0"/>
          <w:numId w:val="8"/>
        </w:numPr>
      </w:pPr>
      <w:r>
        <w:t>Les quartiers existants « activités » sont réservés aux bâtiments érigés en ordre non contigu, et aux constructions, infrastructures, aménagements et espaces libres propres aux activités de la zone.</w:t>
      </w:r>
    </w:p>
    <w:p w14:paraId="2B0F45B4" w14:textId="0ED4329E" w:rsidR="001260C8" w:rsidRDefault="001260C8" w:rsidP="001260C8">
      <w:pPr>
        <w:pStyle w:val="ListParagraph"/>
        <w:numPr>
          <w:ilvl w:val="0"/>
          <w:numId w:val="8"/>
        </w:numPr>
      </w:pPr>
      <w:r>
        <w:t>En zone d’activités économiques communale type 1 (ECO-c1) sont autorisées les constructions et aménagements d’intérêt général ou d’utilité publique.</w:t>
      </w:r>
    </w:p>
    <w:p w14:paraId="03F1D865" w14:textId="792176B9" w:rsidR="001260C8" w:rsidRDefault="001260C8" w:rsidP="001260C8">
      <w:pPr>
        <w:pStyle w:val="ListParagraph"/>
        <w:numPr>
          <w:ilvl w:val="0"/>
          <w:numId w:val="8"/>
        </w:numPr>
      </w:pPr>
      <w:r>
        <w:t>Les stations-service sont exclusivement autorisées en zone spéciale garage et station-service (SPEC-gss).</w:t>
      </w:r>
    </w:p>
    <w:p w14:paraId="70075189" w14:textId="77777777" w:rsidR="001260C8" w:rsidRDefault="001260C8" w:rsidP="001260C8">
      <w:pPr>
        <w:pStyle w:val="Heading1"/>
      </w:pPr>
      <w:r>
        <w:t>Art. 26 Nombre d’unités de logement</w:t>
      </w:r>
    </w:p>
    <w:p w14:paraId="63CFF379" w14:textId="77777777" w:rsidR="001260C8" w:rsidRDefault="001260C8" w:rsidP="001260C8">
      <w:r>
        <w:t>Les logements sont interdits, à l’exception des logements de service à l’usage du personnel dont la présence permanente est nécessaire pour assurer la direction ou la surveillance d’une entreprise particulière. Ces logements sont à intégrer dans le corps même des constructions.</w:t>
      </w:r>
    </w:p>
    <w:p w14:paraId="3BBC48CA" w14:textId="77777777" w:rsidR="001260C8" w:rsidRDefault="001260C8" w:rsidP="001260C8">
      <w:r>
        <w:t>Au maximum un logement de service est autorisé par entreprise.</w:t>
      </w:r>
    </w:p>
    <w:p w14:paraId="4141536F" w14:textId="77777777" w:rsidR="001260C8" w:rsidRDefault="001260C8" w:rsidP="001260C8">
      <w:pPr>
        <w:pStyle w:val="Heading1"/>
      </w:pPr>
      <w:r>
        <w:t>Art. 27 Implantation des constructions</w:t>
      </w:r>
    </w:p>
    <w:p w14:paraId="022AB24E" w14:textId="74EEBA59" w:rsidR="001260C8" w:rsidRDefault="001260C8" w:rsidP="001260C8">
      <w:pPr>
        <w:pStyle w:val="ListParagraph"/>
        <w:numPr>
          <w:ilvl w:val="0"/>
          <w:numId w:val="10"/>
        </w:numPr>
      </w:pPr>
      <w:r>
        <w:t>Recul antérieur</w:t>
      </w:r>
    </w:p>
    <w:p w14:paraId="3B06F9CE" w14:textId="77777777" w:rsidR="001260C8" w:rsidRDefault="001260C8" w:rsidP="001260C8">
      <w:pPr>
        <w:ind w:left="720"/>
      </w:pPr>
      <w:r>
        <w:t>Le recul minimum de toute nouvelle construction par rapport à l’alignement de la voirie est de 5m, sous condition que la visibilité soit garantie.</w:t>
      </w:r>
    </w:p>
    <w:p w14:paraId="15AA38C5" w14:textId="77777777" w:rsidR="001260C8" w:rsidRDefault="001260C8" w:rsidP="001260C8">
      <w:pPr>
        <w:ind w:left="720"/>
      </w:pPr>
      <w:r>
        <w:t>Les constructions en seconde position sont admises pour autant qu’un accès carrossable imprenable permettant le passage des véhicules d’intervention urgente soit assuré.</w:t>
      </w:r>
    </w:p>
    <w:p w14:paraId="3E509B62" w14:textId="1A73F402" w:rsidR="001260C8" w:rsidRDefault="001260C8" w:rsidP="001260C8">
      <w:pPr>
        <w:pStyle w:val="ListParagraph"/>
        <w:numPr>
          <w:ilvl w:val="0"/>
          <w:numId w:val="10"/>
        </w:numPr>
      </w:pPr>
      <w:r>
        <w:t>Recul latéral</w:t>
      </w:r>
    </w:p>
    <w:p w14:paraId="3565D2D2" w14:textId="77777777" w:rsidR="001260C8" w:rsidRDefault="001260C8" w:rsidP="001260C8">
      <w:pPr>
        <w:ind w:left="720"/>
      </w:pPr>
      <w:r>
        <w:t>Le recul de toute nouvelle construction par rapport à la limite latérale de propriété est de 3m.</w:t>
      </w:r>
    </w:p>
    <w:p w14:paraId="1E55A26D" w14:textId="0A5AC64C" w:rsidR="001260C8" w:rsidRDefault="001260C8" w:rsidP="001260C8">
      <w:pPr>
        <w:pStyle w:val="ListParagraph"/>
        <w:numPr>
          <w:ilvl w:val="0"/>
          <w:numId w:val="11"/>
        </w:numPr>
      </w:pPr>
      <w:r>
        <w:t>Recul postérieur</w:t>
      </w:r>
    </w:p>
    <w:p w14:paraId="5644E4CC" w14:textId="77777777" w:rsidR="001260C8" w:rsidRDefault="001260C8" w:rsidP="001260C8">
      <w:pPr>
        <w:ind w:left="720"/>
      </w:pPr>
      <w:r>
        <w:t>Le recul minimum de toute nouvelle construction par rapport à la limite postérieure de propriété est de 5m.</w:t>
      </w:r>
    </w:p>
    <w:p w14:paraId="2C0A3E9A" w14:textId="2D973C06" w:rsidR="001260C8" w:rsidRDefault="001260C8" w:rsidP="001260C8">
      <w:pPr>
        <w:pStyle w:val="ListParagraph"/>
        <w:numPr>
          <w:ilvl w:val="0"/>
          <w:numId w:val="11"/>
        </w:numPr>
      </w:pPr>
      <w:r>
        <w:t>Distance entre constructions</w:t>
      </w:r>
    </w:p>
    <w:p w14:paraId="20106148" w14:textId="77777777" w:rsidR="001260C8" w:rsidRDefault="001260C8" w:rsidP="001260C8">
      <w:pPr>
        <w:ind w:left="720"/>
      </w:pPr>
      <w:r>
        <w:lastRenderedPageBreak/>
        <w:t>La distance entre deux constructions situées sur le même fonds doit être égale ou supérieure à 5m.</w:t>
      </w:r>
    </w:p>
    <w:p w14:paraId="38FDEE07" w14:textId="3B68BEAB" w:rsidR="006605E2" w:rsidRDefault="001260C8" w:rsidP="001260C8">
      <w:pPr>
        <w:ind w:left="720"/>
      </w:pPr>
      <w:r>
        <w:t>La distance entre constructions est mesurée à partir du milieu d'une des façades, perpendiculairement à l'autre. Au point le plus rapproché, la distance entre les constructions ne peut pas être diminuée de plus de 1m.</w:t>
      </w:r>
    </w:p>
    <w:p w14:paraId="584E9F2E" w14:textId="77777777" w:rsidR="001260C8" w:rsidRDefault="001260C8" w:rsidP="001260C8">
      <w:pPr>
        <w:pStyle w:val="Heading1"/>
      </w:pPr>
      <w:r>
        <w:t>Art. 28 Gabarit des constructions</w:t>
      </w:r>
    </w:p>
    <w:p w14:paraId="5B3D90C2" w14:textId="2FBAFC15" w:rsidR="001260C8" w:rsidRDefault="001260C8" w:rsidP="001260C8">
      <w:pPr>
        <w:pStyle w:val="ListParagraph"/>
        <w:numPr>
          <w:ilvl w:val="0"/>
          <w:numId w:val="12"/>
        </w:numPr>
      </w:pPr>
      <w:r>
        <w:t>Niveaux</w:t>
      </w:r>
    </w:p>
    <w:p w14:paraId="258AD22F" w14:textId="77777777" w:rsidR="001260C8" w:rsidRDefault="001260C8" w:rsidP="001260C8">
      <w:pPr>
        <w:pStyle w:val="ListParagraph"/>
        <w:numPr>
          <w:ilvl w:val="0"/>
          <w:numId w:val="13"/>
        </w:numPr>
      </w:pPr>
      <w:r>
        <w:t>le nombre de niveaux pleins hors sol est limité à 3 (trois);</w:t>
      </w:r>
    </w:p>
    <w:p w14:paraId="3CCD5563" w14:textId="4FCA78D8" w:rsidR="001260C8" w:rsidRDefault="001260C8" w:rsidP="001260C8">
      <w:pPr>
        <w:pStyle w:val="ListParagraph"/>
        <w:numPr>
          <w:ilvl w:val="0"/>
          <w:numId w:val="13"/>
        </w:numPr>
      </w:pPr>
      <w:r>
        <w:t>le nombre de niveaux en sous-sol est limité à 1 (un).</w:t>
      </w:r>
    </w:p>
    <w:p w14:paraId="2C518484" w14:textId="3C31DA36" w:rsidR="001260C8" w:rsidRDefault="001260C8" w:rsidP="001260C8">
      <w:pPr>
        <w:pStyle w:val="ListParagraph"/>
        <w:numPr>
          <w:ilvl w:val="0"/>
          <w:numId w:val="10"/>
        </w:numPr>
      </w:pPr>
      <w:r>
        <w:t>Hauteur</w:t>
      </w:r>
    </w:p>
    <w:p w14:paraId="4E5595B7" w14:textId="77777777" w:rsidR="001260C8" w:rsidRDefault="001260C8" w:rsidP="001260C8">
      <w:pPr>
        <w:ind w:left="720"/>
      </w:pPr>
      <w:r>
        <w:t>La hauteur maximale hors tout des constructions est fixée à 12m.</w:t>
      </w:r>
    </w:p>
    <w:p w14:paraId="445D7E8C" w14:textId="6F8D0CB3" w:rsidR="001260C8" w:rsidRDefault="001260C8" w:rsidP="001260C8">
      <w:pPr>
        <w:pStyle w:val="ListParagraph"/>
        <w:numPr>
          <w:ilvl w:val="0"/>
          <w:numId w:val="10"/>
        </w:numPr>
      </w:pPr>
      <w:r>
        <w:t>Profondeur</w:t>
      </w:r>
    </w:p>
    <w:p w14:paraId="51CC9E5E" w14:textId="77777777" w:rsidR="001260C8" w:rsidRDefault="001260C8" w:rsidP="001260C8">
      <w:pPr>
        <w:ind w:left="720"/>
      </w:pPr>
      <w:r>
        <w:t>La profondeur maximale des constructions hors sol et en sous-sol est fixée à 40m.</w:t>
      </w:r>
    </w:p>
    <w:p w14:paraId="31E4705D" w14:textId="77777777" w:rsidR="001260C8" w:rsidRDefault="001260C8" w:rsidP="001260C8">
      <w:pPr>
        <w:pStyle w:val="Heading1"/>
      </w:pPr>
      <w:r>
        <w:t>Art. 29 Forme des toitures</w:t>
      </w:r>
    </w:p>
    <w:p w14:paraId="23B76F10" w14:textId="31DF9C33" w:rsidR="001260C8" w:rsidRDefault="001260C8" w:rsidP="001260C8">
      <w:r>
        <w:t>Les formes de toiture suivantes sont admises:</w:t>
      </w:r>
    </w:p>
    <w:p w14:paraId="74614341" w14:textId="77777777" w:rsidR="001260C8" w:rsidRDefault="001260C8" w:rsidP="001260C8">
      <w:pPr>
        <w:pStyle w:val="ListParagraph"/>
        <w:numPr>
          <w:ilvl w:val="0"/>
          <w:numId w:val="14"/>
        </w:numPr>
      </w:pPr>
      <w:r>
        <w:t>toitures à deux versants de pentes comprises entre 15° au minimum et 20° au maximum;</w:t>
      </w:r>
    </w:p>
    <w:p w14:paraId="028F72A4" w14:textId="77777777" w:rsidR="001260C8" w:rsidRDefault="001260C8" w:rsidP="001260C8">
      <w:pPr>
        <w:pStyle w:val="ListParagraph"/>
        <w:numPr>
          <w:ilvl w:val="0"/>
          <w:numId w:val="14"/>
        </w:numPr>
      </w:pPr>
      <w:r>
        <w:t>toitures à un versant de pente inférieure ou égale à 15°;</w:t>
      </w:r>
    </w:p>
    <w:p w14:paraId="37692F4B" w14:textId="77777777" w:rsidR="001260C8" w:rsidRDefault="001260C8" w:rsidP="001260C8">
      <w:pPr>
        <w:pStyle w:val="ListParagraph"/>
        <w:numPr>
          <w:ilvl w:val="0"/>
          <w:numId w:val="14"/>
        </w:numPr>
      </w:pPr>
      <w:r>
        <w:t>toitures shed de pente inférieure ou égale à 45°;</w:t>
      </w:r>
    </w:p>
    <w:p w14:paraId="78775B5E" w14:textId="600192CA" w:rsidR="001260C8" w:rsidRDefault="001260C8" w:rsidP="001260C8">
      <w:pPr>
        <w:pStyle w:val="ListParagraph"/>
        <w:numPr>
          <w:ilvl w:val="0"/>
          <w:numId w:val="14"/>
        </w:numPr>
      </w:pPr>
      <w:r>
        <w:t>toitures plates, les toitures plates peuvent être aménagées en toiture-terrasse ou toiture-jardin.</w:t>
      </w:r>
    </w:p>
    <w:p w14:paraId="15F91432" w14:textId="77777777" w:rsidR="001260C8" w:rsidRDefault="001260C8" w:rsidP="001260C8">
      <w:pPr>
        <w:pStyle w:val="Heading1"/>
      </w:pPr>
      <w:r>
        <w:t>Art. 30 Scellement du sol</w:t>
      </w:r>
    </w:p>
    <w:p w14:paraId="3C6787FA" w14:textId="0F887D23" w:rsidR="001260C8" w:rsidRPr="007D461A" w:rsidRDefault="001260C8" w:rsidP="001260C8">
      <w:r>
        <w:t>Le coefficient maximal de scellement du sol de la parcelle est fixé à 0,90.</w:t>
      </w:r>
    </w:p>
    <w:sectPr w:rsidR="001260C8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438EA"/>
    <w:multiLevelType w:val="hybridMultilevel"/>
    <w:tmpl w:val="3CB0A8BE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F2EA0"/>
    <w:multiLevelType w:val="hybridMultilevel"/>
    <w:tmpl w:val="69600472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C1F96"/>
    <w:multiLevelType w:val="hybridMultilevel"/>
    <w:tmpl w:val="E1CE22B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AE25E5"/>
    <w:multiLevelType w:val="hybridMultilevel"/>
    <w:tmpl w:val="046AA75E"/>
    <w:lvl w:ilvl="0" w:tplc="0EC87864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66F9B"/>
    <w:multiLevelType w:val="hybridMultilevel"/>
    <w:tmpl w:val="6E067E48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6559F1"/>
    <w:multiLevelType w:val="hybridMultilevel"/>
    <w:tmpl w:val="B35A0CDA"/>
    <w:lvl w:ilvl="0" w:tplc="0EC87864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DA5644"/>
    <w:multiLevelType w:val="hybridMultilevel"/>
    <w:tmpl w:val="6888C084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7B4DBD"/>
    <w:multiLevelType w:val="hybridMultilevel"/>
    <w:tmpl w:val="18421C46"/>
    <w:lvl w:ilvl="0" w:tplc="046E0019">
      <w:start w:val="1"/>
      <w:numFmt w:val="lowerLetter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3"/>
  </w:num>
  <w:num w:numId="10">
    <w:abstractNumId w:val="1"/>
  </w:num>
  <w:num w:numId="11">
    <w:abstractNumId w:val="5"/>
  </w:num>
  <w:num w:numId="12">
    <w:abstractNumId w:val="8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260C8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E3A56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2024-04-09T12:30:00Z</dcterms:modified>
</cp:coreProperties>
</file>