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6A7B4" w14:textId="55A7FCB9" w:rsidR="009169E7" w:rsidRDefault="009169E7" w:rsidP="009169E7">
      <w:pPr>
        <w:pStyle w:val="Title"/>
      </w:pPr>
      <w:r>
        <w:t>E. Règles spécifiques applicables au PAP « QE – N4 Rombach-Martelange » (QE_N4)</w:t>
      </w:r>
    </w:p>
    <w:p w14:paraId="3CEC7D42" w14:textId="77777777" w:rsidR="009169E7" w:rsidRDefault="009169E7" w:rsidP="009169E7">
      <w:pPr>
        <w:pStyle w:val="Heading1"/>
      </w:pPr>
      <w:r>
        <w:t>Art. 31 Champ d’application</w:t>
      </w:r>
    </w:p>
    <w:p w14:paraId="578E10C9" w14:textId="20C161B6" w:rsidR="009169E7" w:rsidRDefault="009169E7" w:rsidP="009169E7">
      <w:r>
        <w:t>Les délimitations du plan d’aménagement particulier « quartier existant – N4 » sont fixées en partie graphique.</w:t>
      </w:r>
    </w:p>
    <w:p w14:paraId="6AF32E49" w14:textId="4FEAAC5F" w:rsidR="00836880" w:rsidRPr="00836880" w:rsidRDefault="009169E7" w:rsidP="00836880">
      <w:pPr>
        <w:pStyle w:val="Heading1"/>
      </w:pPr>
      <w:r>
        <w:t>Art. 32 Type des constructions</w:t>
      </w:r>
      <w:bookmarkStart w:id="0" w:name="_GoBack"/>
      <w:bookmarkEnd w:id="0"/>
    </w:p>
    <w:p w14:paraId="6D2AB81D" w14:textId="729EE1D8" w:rsidR="009169E7" w:rsidRDefault="009169E7" w:rsidP="009169E7">
      <w:pPr>
        <w:pStyle w:val="ListParagraph"/>
        <w:numPr>
          <w:ilvl w:val="0"/>
          <w:numId w:val="8"/>
        </w:numPr>
      </w:pPr>
      <w:r>
        <w:t>Le quartier existant « N4 » est réservé aux bâtiments isolés ou érigés en ordre contigu.</w:t>
      </w:r>
    </w:p>
    <w:p w14:paraId="1AE62A13" w14:textId="0C5AD43F" w:rsidR="009169E7" w:rsidRDefault="009169E7" w:rsidP="009169E7">
      <w:pPr>
        <w:pStyle w:val="ListParagraph"/>
        <w:numPr>
          <w:ilvl w:val="0"/>
          <w:numId w:val="8"/>
        </w:numPr>
      </w:pPr>
      <w:r>
        <w:t>Pour toute reconstruction, l’ordre contigu est obligatoire lorsque les bâtiments d’origine répondent à ce type d’implantation.</w:t>
      </w:r>
    </w:p>
    <w:p w14:paraId="0AE8CE3B" w14:textId="674E7CF9" w:rsidR="009169E7" w:rsidRDefault="009169E7" w:rsidP="009169E7">
      <w:pPr>
        <w:pStyle w:val="ListParagraph"/>
        <w:numPr>
          <w:ilvl w:val="0"/>
          <w:numId w:val="8"/>
        </w:numPr>
      </w:pPr>
      <w:r>
        <w:t>Les stations-service sont autorisées en « QE_N4 ».</w:t>
      </w:r>
    </w:p>
    <w:p w14:paraId="203C712C" w14:textId="001EB8BF" w:rsidR="009169E7" w:rsidRDefault="009169E7" w:rsidP="009169E7">
      <w:pPr>
        <w:pStyle w:val="ListParagraph"/>
        <w:numPr>
          <w:ilvl w:val="0"/>
          <w:numId w:val="8"/>
        </w:numPr>
      </w:pPr>
      <w:r>
        <w:t>Les constructions d’habitation ne sont pas autorisées en « QE_N4 ». Les constructions d’habitation existantes peuvent être maintenues et rénovées.</w:t>
      </w:r>
    </w:p>
    <w:p w14:paraId="49CE6041" w14:textId="77777777" w:rsidR="009169E7" w:rsidRDefault="009169E7" w:rsidP="009169E7">
      <w:pPr>
        <w:pStyle w:val="Heading1"/>
      </w:pPr>
      <w:r>
        <w:t>Art. 33 Nombre d’unités de logement</w:t>
      </w:r>
    </w:p>
    <w:p w14:paraId="0D4F6B18" w14:textId="77777777" w:rsidR="009169E7" w:rsidRDefault="009169E7" w:rsidP="009169E7">
      <w:r>
        <w:t>Les logements existants gardent leur droit acquis. Aucun logement, ni logement de service supplémentaire ne peut être autorisé.</w:t>
      </w:r>
    </w:p>
    <w:p w14:paraId="3ACC2427" w14:textId="77777777" w:rsidR="009169E7" w:rsidRDefault="009169E7" w:rsidP="009169E7">
      <w:pPr>
        <w:pStyle w:val="Heading1"/>
      </w:pPr>
      <w:r>
        <w:t>Art. 34 Implantation des constructions</w:t>
      </w:r>
    </w:p>
    <w:p w14:paraId="4493BAFE" w14:textId="6BD6EFA9" w:rsidR="009169E7" w:rsidRDefault="009169E7" w:rsidP="009169E7">
      <w:pPr>
        <w:pStyle w:val="ListParagraph"/>
        <w:numPr>
          <w:ilvl w:val="0"/>
          <w:numId w:val="10"/>
        </w:numPr>
      </w:pPr>
      <w:r>
        <w:t>Bande de construction</w:t>
      </w:r>
    </w:p>
    <w:p w14:paraId="72797F68" w14:textId="77777777" w:rsidR="009169E7" w:rsidRDefault="009169E7" w:rsidP="009169E7">
      <w:pPr>
        <w:ind w:left="720"/>
      </w:pPr>
      <w:r>
        <w:t>Les constructions principales sont à implanter dans une bande de construction de 25m mesurée à partir de l’alignement de la voirie.</w:t>
      </w:r>
    </w:p>
    <w:p w14:paraId="3A19B084" w14:textId="60AE2195" w:rsidR="009169E7" w:rsidRDefault="009169E7" w:rsidP="009169E7">
      <w:pPr>
        <w:pStyle w:val="ListParagraph"/>
        <w:numPr>
          <w:ilvl w:val="0"/>
          <w:numId w:val="10"/>
        </w:numPr>
      </w:pPr>
      <w:r>
        <w:t>Alignement</w:t>
      </w:r>
    </w:p>
    <w:p w14:paraId="06959BFC" w14:textId="582F49E3" w:rsidR="009169E7" w:rsidRDefault="009169E7" w:rsidP="009169E7">
      <w:pPr>
        <w:ind w:left="720"/>
      </w:pPr>
      <w:r>
        <w:t>L’alignement des façades antérieures (constructions principales, dépendances) et des auvents est à fixer en référence à l’implantation des bâtiments/auvents voisins voire de l'environnement construit, sous condition que la visibilité soit garantie.</w:t>
      </w:r>
    </w:p>
    <w:p w14:paraId="348DD8D5" w14:textId="24412B67" w:rsidR="009169E7" w:rsidRDefault="009169E7" w:rsidP="009169E7">
      <w:pPr>
        <w:pStyle w:val="ListParagraph"/>
        <w:numPr>
          <w:ilvl w:val="0"/>
          <w:numId w:val="10"/>
        </w:numPr>
      </w:pPr>
      <w:r>
        <w:t>Recul antérieur</w:t>
      </w:r>
    </w:p>
    <w:p w14:paraId="1421CB72" w14:textId="77777777" w:rsidR="009169E7" w:rsidRDefault="009169E7" w:rsidP="009169E7">
      <w:pPr>
        <w:ind w:left="720"/>
      </w:pPr>
      <w:r>
        <w:t>A défaut d’un alignement de référence tel que défini par les bâtiments / auvents voisins:</w:t>
      </w:r>
    </w:p>
    <w:p w14:paraId="599B6943" w14:textId="77777777" w:rsidR="009169E7" w:rsidRDefault="009169E7" w:rsidP="009169E7">
      <w:pPr>
        <w:pStyle w:val="ListParagraph"/>
        <w:numPr>
          <w:ilvl w:val="0"/>
          <w:numId w:val="11"/>
        </w:numPr>
      </w:pPr>
      <w:r>
        <w:t>le recul minimum de toute nouvelle construction fermée par rapport à l’alignement de la voirie est de 4m, sous condition que la visibilité soit garantie;</w:t>
      </w:r>
    </w:p>
    <w:p w14:paraId="38FDEE07" w14:textId="3A2225E1" w:rsidR="006605E2" w:rsidRDefault="009169E7" w:rsidP="009169E7">
      <w:pPr>
        <w:pStyle w:val="ListParagraph"/>
        <w:numPr>
          <w:ilvl w:val="0"/>
          <w:numId w:val="11"/>
        </w:numPr>
      </w:pPr>
      <w:r>
        <w:t>le recul minimum de toute nouvelle construction légère (auvent, pilier, etc.) par rapport à l’alignement de la voirie est de 2m, sous condition que la visibilité soit garantie.</w:t>
      </w:r>
    </w:p>
    <w:p w14:paraId="2348E730" w14:textId="78D53933" w:rsidR="009169E7" w:rsidRDefault="009169E7" w:rsidP="009169E7">
      <w:pPr>
        <w:pStyle w:val="ListParagraph"/>
        <w:numPr>
          <w:ilvl w:val="0"/>
          <w:numId w:val="10"/>
        </w:numPr>
      </w:pPr>
      <w:r>
        <w:t>Recul latéral</w:t>
      </w:r>
    </w:p>
    <w:p w14:paraId="3ED9F334" w14:textId="77777777" w:rsidR="009169E7" w:rsidRDefault="009169E7" w:rsidP="009169E7">
      <w:pPr>
        <w:ind w:left="720"/>
      </w:pPr>
      <w:r>
        <w:lastRenderedPageBreak/>
        <w:t>Le recul de toute nouvelle construction par rapport à la limite latérale de propriété doit être soit nul, soit égal ou supérieur à 3m.</w:t>
      </w:r>
    </w:p>
    <w:p w14:paraId="4A53F8C4" w14:textId="460BA0CA" w:rsidR="009169E7" w:rsidRDefault="009169E7" w:rsidP="009169E7">
      <w:pPr>
        <w:pStyle w:val="ListParagraph"/>
        <w:numPr>
          <w:ilvl w:val="0"/>
          <w:numId w:val="10"/>
        </w:numPr>
      </w:pPr>
      <w:r>
        <w:t>Recul postérieur</w:t>
      </w:r>
    </w:p>
    <w:p w14:paraId="127B601B" w14:textId="77777777" w:rsidR="009169E7" w:rsidRDefault="009169E7" w:rsidP="009169E7">
      <w:pPr>
        <w:ind w:left="720"/>
      </w:pPr>
      <w:r>
        <w:t>Le recul minimum de toute nouvelle construction par rapport à la limite postérieure de propriété est de 1m.</w:t>
      </w:r>
    </w:p>
    <w:p w14:paraId="2222AAAD" w14:textId="77777777" w:rsidR="009169E7" w:rsidRDefault="009169E7" w:rsidP="009169E7">
      <w:pPr>
        <w:ind w:left="720"/>
      </w:pPr>
      <w:r>
        <w:t>Le bourgmestre peut accorder des dérogations par rapport au recul postérieur minimum en cas de réaffectation de constructions existantes.</w:t>
      </w:r>
    </w:p>
    <w:p w14:paraId="26FA7189" w14:textId="77777777" w:rsidR="009169E7" w:rsidRDefault="009169E7" w:rsidP="009169E7">
      <w:pPr>
        <w:pStyle w:val="Heading1"/>
      </w:pPr>
      <w:r>
        <w:t>Art. 35 Gabarit des constructions</w:t>
      </w:r>
    </w:p>
    <w:p w14:paraId="70E26192" w14:textId="24D6FCB3" w:rsidR="009169E7" w:rsidRDefault="009169E7" w:rsidP="009169E7">
      <w:pPr>
        <w:pStyle w:val="ListParagraph"/>
        <w:numPr>
          <w:ilvl w:val="0"/>
          <w:numId w:val="12"/>
        </w:numPr>
      </w:pPr>
      <w:r>
        <w:t>Niveaux</w:t>
      </w:r>
    </w:p>
    <w:p w14:paraId="6208DEB4" w14:textId="77777777" w:rsidR="009169E7" w:rsidRDefault="009169E7" w:rsidP="009169E7">
      <w:pPr>
        <w:pStyle w:val="ListParagraph"/>
        <w:numPr>
          <w:ilvl w:val="0"/>
          <w:numId w:val="13"/>
        </w:numPr>
      </w:pPr>
      <w:r>
        <w:t>le nombre de niveaux pleins hors sol est limité à deux (2);</w:t>
      </w:r>
    </w:p>
    <w:p w14:paraId="3207BFCA" w14:textId="77777777" w:rsidR="009169E7" w:rsidRDefault="009169E7" w:rsidP="009169E7">
      <w:pPr>
        <w:pStyle w:val="ListParagraph"/>
        <w:numPr>
          <w:ilvl w:val="0"/>
          <w:numId w:val="13"/>
        </w:numPr>
      </w:pPr>
      <w:r>
        <w:t>le nombre niveaux en sous-sol est limité à un (1);</w:t>
      </w:r>
    </w:p>
    <w:p w14:paraId="7DCAF70E" w14:textId="77777777" w:rsidR="009169E7" w:rsidRDefault="009169E7" w:rsidP="009169E7">
      <w:pPr>
        <w:pStyle w:val="ListParagraph"/>
        <w:numPr>
          <w:ilvl w:val="0"/>
          <w:numId w:val="13"/>
        </w:numPr>
      </w:pPr>
      <w:r>
        <w:t>pour les toitures à deux versants, l'aménagement d'un (1) étage dans les combles est autorisé;</w:t>
      </w:r>
    </w:p>
    <w:p w14:paraId="23DEFDDB" w14:textId="11803055" w:rsidR="009169E7" w:rsidRDefault="009169E7" w:rsidP="009169E7">
      <w:pPr>
        <w:pStyle w:val="ListParagraph"/>
        <w:numPr>
          <w:ilvl w:val="0"/>
          <w:numId w:val="13"/>
        </w:numPr>
      </w:pPr>
      <w:r>
        <w:t>pour les toitures plates l’aménagement d’un (1) étage en retrait d’une surface construite brute inférieure ou égale à 60% de la surface construite brute du dernier niveau plein de la construction est autorisé; l’étage en retrait observera un recul minimal de 0,50 m du nu extérieur des façades du niveau inférieur;</w:t>
      </w:r>
    </w:p>
    <w:p w14:paraId="3CBD71B5" w14:textId="60C182C2" w:rsidR="009169E7" w:rsidRDefault="009169E7" w:rsidP="009169E7">
      <w:pPr>
        <w:pStyle w:val="ListParagraph"/>
        <w:numPr>
          <w:ilvl w:val="0"/>
          <w:numId w:val="12"/>
        </w:numPr>
      </w:pPr>
      <w:r>
        <w:t>Hauteur</w:t>
      </w:r>
    </w:p>
    <w:p w14:paraId="4E049F74" w14:textId="77777777" w:rsidR="009169E7" w:rsidRDefault="009169E7" w:rsidP="009169E7">
      <w:pPr>
        <w:pStyle w:val="ListParagraph"/>
        <w:numPr>
          <w:ilvl w:val="0"/>
          <w:numId w:val="14"/>
        </w:numPr>
      </w:pPr>
      <w:r>
        <w:t>la hauteur maximale à la corniche est fixée à 7m;</w:t>
      </w:r>
    </w:p>
    <w:p w14:paraId="338A7912" w14:textId="77777777" w:rsidR="009169E7" w:rsidRDefault="009169E7" w:rsidP="009169E7">
      <w:pPr>
        <w:pStyle w:val="ListParagraph"/>
        <w:numPr>
          <w:ilvl w:val="0"/>
          <w:numId w:val="14"/>
        </w:numPr>
      </w:pPr>
      <w:r>
        <w:t>la hauteur maximale au faîte est fixée à 11m;</w:t>
      </w:r>
    </w:p>
    <w:p w14:paraId="0354674E" w14:textId="77777777" w:rsidR="009169E7" w:rsidRDefault="009169E7" w:rsidP="009169E7">
      <w:pPr>
        <w:pStyle w:val="ListParagraph"/>
        <w:numPr>
          <w:ilvl w:val="0"/>
          <w:numId w:val="14"/>
        </w:numPr>
      </w:pPr>
      <w:r>
        <w:t>la hauteur maximale à l’acrotère du dernier étage plein est fixé à 7,50m;</w:t>
      </w:r>
    </w:p>
    <w:p w14:paraId="50A9FC20" w14:textId="691FC84F" w:rsidR="009169E7" w:rsidRDefault="009169E7" w:rsidP="009169E7">
      <w:pPr>
        <w:pStyle w:val="ListParagraph"/>
        <w:numPr>
          <w:ilvl w:val="0"/>
          <w:numId w:val="14"/>
        </w:numPr>
      </w:pPr>
      <w:r>
        <w:t>la hauteur maximale à l’acrotère de l’étage en retrait est fixée à 10,50m.</w:t>
      </w:r>
    </w:p>
    <w:p w14:paraId="243A3DC1" w14:textId="4776953E" w:rsidR="009169E7" w:rsidRDefault="009169E7" w:rsidP="009169E7">
      <w:pPr>
        <w:pStyle w:val="ListParagraph"/>
        <w:numPr>
          <w:ilvl w:val="0"/>
          <w:numId w:val="12"/>
        </w:numPr>
      </w:pPr>
      <w:r>
        <w:t>Profondeur</w:t>
      </w:r>
    </w:p>
    <w:p w14:paraId="695FDEB1" w14:textId="77777777" w:rsidR="009169E7" w:rsidRDefault="009169E7" w:rsidP="009169E7">
      <w:pPr>
        <w:ind w:left="720"/>
      </w:pPr>
      <w:r>
        <w:t>La profondeur maximale des constructions hors sol et en sous-sol est fixée à 20m.</w:t>
      </w:r>
    </w:p>
    <w:p w14:paraId="1DEF1461" w14:textId="77777777" w:rsidR="009169E7" w:rsidRDefault="009169E7" w:rsidP="009169E7">
      <w:pPr>
        <w:pStyle w:val="Heading1"/>
      </w:pPr>
      <w:r>
        <w:t>Art. 36 Forme des toitures</w:t>
      </w:r>
    </w:p>
    <w:p w14:paraId="77ED8C2D" w14:textId="3086770B" w:rsidR="009169E7" w:rsidRDefault="009169E7" w:rsidP="009169E7">
      <w:r>
        <w:t>Les constructions sont à couvrir soit:</w:t>
      </w:r>
    </w:p>
    <w:p w14:paraId="0D5926C5" w14:textId="77777777" w:rsidR="009169E7" w:rsidRDefault="009169E7" w:rsidP="009169E7">
      <w:pPr>
        <w:pStyle w:val="ListParagraph"/>
        <w:numPr>
          <w:ilvl w:val="0"/>
          <w:numId w:val="15"/>
        </w:numPr>
      </w:pPr>
      <w:r>
        <w:t>de toitures plates, soit</w:t>
      </w:r>
    </w:p>
    <w:p w14:paraId="4B13E9DA" w14:textId="0A26CB7D" w:rsidR="009169E7" w:rsidRPr="007D461A" w:rsidRDefault="009169E7" w:rsidP="009169E7">
      <w:pPr>
        <w:pStyle w:val="ListParagraph"/>
        <w:numPr>
          <w:ilvl w:val="0"/>
          <w:numId w:val="15"/>
        </w:numPr>
      </w:pPr>
      <w:r>
        <w:t>de toitures à deux versants, avec ou sans croupes ou demi-croupes (pentes min. 25° et max. 42°).</w:t>
      </w:r>
    </w:p>
    <w:sectPr w:rsidR="009169E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C3E0E"/>
    <w:multiLevelType w:val="hybridMultilevel"/>
    <w:tmpl w:val="C0A63F44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BF3175"/>
    <w:multiLevelType w:val="hybridMultilevel"/>
    <w:tmpl w:val="46489FE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B60F9"/>
    <w:multiLevelType w:val="hybridMultilevel"/>
    <w:tmpl w:val="D89C9732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452FD"/>
    <w:multiLevelType w:val="hybridMultilevel"/>
    <w:tmpl w:val="5902FB2C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12764"/>
    <w:multiLevelType w:val="hybridMultilevel"/>
    <w:tmpl w:val="C0C01DBA"/>
    <w:lvl w:ilvl="0" w:tplc="046E0019">
      <w:start w:val="1"/>
      <w:numFmt w:val="lowerLetter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A6108"/>
    <w:multiLevelType w:val="hybridMultilevel"/>
    <w:tmpl w:val="B1AE0B24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A80062"/>
    <w:multiLevelType w:val="hybridMultilevel"/>
    <w:tmpl w:val="B016AB20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02C17"/>
    <w:multiLevelType w:val="hybridMultilevel"/>
    <w:tmpl w:val="5E402AF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F85197E"/>
    <w:multiLevelType w:val="hybridMultilevel"/>
    <w:tmpl w:val="7D80215C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6"/>
  </w:num>
  <w:num w:numId="11">
    <w:abstractNumId w:val="13"/>
  </w:num>
  <w:num w:numId="12">
    <w:abstractNumId w:val="11"/>
  </w:num>
  <w:num w:numId="13">
    <w:abstractNumId w:val="4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36880"/>
    <w:rsid w:val="008A46DB"/>
    <w:rsid w:val="009169E7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2024-04-09T12:30:00Z</dcterms:modified>
</cp:coreProperties>
</file>