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8456F" w14:textId="32EB73FE" w:rsidR="00A6153C" w:rsidRPr="00A6153C" w:rsidRDefault="007F56AB" w:rsidP="00A6153C">
      <w:pPr>
        <w:pStyle w:val="Heading1"/>
      </w:pPr>
      <w:r>
        <w:t>Art. 9 Zones speciales (SPEC)</w:t>
      </w:r>
      <w:bookmarkStart w:id="0" w:name="_GoBack"/>
      <w:bookmarkEnd w:id="0"/>
    </w:p>
    <w:p w14:paraId="0B1E49EC" w14:textId="57FC8A40" w:rsidR="006E5774" w:rsidRDefault="006E5774" w:rsidP="006E5774">
      <w:pPr>
        <w:pStyle w:val="Heading2"/>
      </w:pPr>
      <w:r>
        <w:t>Art. 9.3 Zone spéciale « auf der Follmühle » (SPEC « auf der Follmühle »)</w:t>
      </w:r>
    </w:p>
    <w:p w14:paraId="2406A3A0" w14:textId="7E123085" w:rsidR="006E5774" w:rsidRDefault="006E5774" w:rsidP="006E5774">
      <w:r>
        <w:t>La zone spéciale « auf der Follmühle » couvre des parties de la localité de Martelange-Rombach.</w:t>
      </w:r>
    </w:p>
    <w:p w14:paraId="2DBFF024" w14:textId="77777777" w:rsidR="006E5774" w:rsidRDefault="006E5774" w:rsidP="006E5774">
      <w:r>
        <w:t>Elle est réservée aux activités industrielles légères et artisanales ainsi qu’aux équipements collectifs techniques.</w:t>
      </w:r>
    </w:p>
    <w:p w14:paraId="376C65B4" w14:textId="77777777" w:rsidR="006E5774" w:rsidRDefault="006E5774" w:rsidP="006E5774">
      <w:r>
        <w:t>A titre accessoire sont admis, le commerce de détail, limité à 250m</w:t>
      </w:r>
      <w:r w:rsidRPr="006E5774">
        <w:rPr>
          <w:vertAlign w:val="superscript"/>
        </w:rPr>
        <w:t>2</w:t>
      </w:r>
      <w:r>
        <w:t xml:space="preserve"> de surface construite brute par immeuble bâti, s’il est directement lié aux activités artisanales exercées sur place, ainsi que les activités de prestations de services commerciaux ou artisanaux, limitées à 250m</w:t>
      </w:r>
      <w:r w:rsidRPr="006E5774">
        <w:rPr>
          <w:vertAlign w:val="superscript"/>
        </w:rPr>
        <w:t>2</w:t>
      </w:r>
      <w:r>
        <w:t xml:space="preserve"> de surface construite brute par immeuble bâti, si elles sont liées aux activités de la zone concernée. Ces activités doivent être accessoires à l’activité principale telle que définie à l’alinéa 2.</w:t>
      </w:r>
    </w:p>
    <w:p w14:paraId="54866EF3" w14:textId="35941D35" w:rsidR="006E5774" w:rsidRDefault="006E5774" w:rsidP="006E5774">
      <w:r>
        <w:t>Sont également autorisées, ceci exclusivement dans la partie Est de la zone spéciale « auf der Follmühle » (se référer au schéma directeur):</w:t>
      </w:r>
    </w:p>
    <w:p w14:paraId="7BF9753F" w14:textId="6FAB158A" w:rsidR="006E5774" w:rsidRDefault="006E5774" w:rsidP="006E5774">
      <w:pPr>
        <w:pStyle w:val="ListParagraph"/>
        <w:numPr>
          <w:ilvl w:val="0"/>
          <w:numId w:val="7"/>
        </w:numPr>
      </w:pPr>
      <w:r>
        <w:t>les structures d’hébergement et de restauration y compris les débits à boissons.</w:t>
      </w:r>
    </w:p>
    <w:p w14:paraId="38FDEE07" w14:textId="2C13EF2B" w:rsidR="006605E2" w:rsidRPr="007D461A" w:rsidRDefault="006E5774" w:rsidP="006E5774">
      <w:r>
        <w:t>Y est admis un seul logement de service par entreprise à l’usage du personnel dont la présence permanente est nécessaire pour assurer la direction ou la surveillance d’une entreprise particulière. Ce logement est à intégrer dans le corps même des constructions.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61DE1"/>
    <w:multiLevelType w:val="hybridMultilevel"/>
    <w:tmpl w:val="DD48D04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E5774"/>
    <w:rsid w:val="00732511"/>
    <w:rsid w:val="007B41C9"/>
    <w:rsid w:val="007B5125"/>
    <w:rsid w:val="007D461A"/>
    <w:rsid w:val="007F56AB"/>
    <w:rsid w:val="008A46DB"/>
    <w:rsid w:val="009D6555"/>
    <w:rsid w:val="00A610F9"/>
    <w:rsid w:val="00A6153C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