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AB6C78" w14:textId="61B08CE5" w:rsidR="000815EE" w:rsidRPr="000815EE" w:rsidRDefault="000815EE" w:rsidP="000815EE">
      <w:pPr>
        <w:pStyle w:val="Heading1"/>
        <w:rPr>
          <w:lang w:val="fr-FR"/>
        </w:rPr>
      </w:pPr>
      <w:r>
        <w:rPr>
          <w:lang w:val="fr-FR"/>
        </w:rPr>
        <w:t xml:space="preserve">Art. 18 </w:t>
      </w:r>
      <w:r w:rsidRPr="000815EE">
        <w:rPr>
          <w:lang w:val="fr-FR"/>
        </w:rPr>
        <w:t xml:space="preserve">Zones de servitude </w:t>
      </w:r>
      <w:r>
        <w:rPr>
          <w:lang w:val="fr-FR"/>
        </w:rPr>
        <w:t>« </w:t>
      </w:r>
      <w:r w:rsidRPr="000815EE">
        <w:rPr>
          <w:lang w:val="fr-FR"/>
        </w:rPr>
        <w:t>urbanisation</w:t>
      </w:r>
      <w:r>
        <w:rPr>
          <w:lang w:val="fr-FR"/>
        </w:rPr>
        <w:t> »</w:t>
      </w:r>
    </w:p>
    <w:p w14:paraId="077BB1A1" w14:textId="5EC0EC13" w:rsidR="000815EE" w:rsidRDefault="000815EE" w:rsidP="000815EE">
      <w:pPr>
        <w:pStyle w:val="Heading2"/>
        <w:rPr>
          <w:lang w:val="fr-FR"/>
        </w:rPr>
      </w:pPr>
      <w:r>
        <w:rPr>
          <w:lang w:val="fr-FR"/>
        </w:rPr>
        <w:t>Art. 18.1</w:t>
      </w:r>
    </w:p>
    <w:p w14:paraId="4E93CB6A" w14:textId="21E1C531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Les zone</w:t>
      </w:r>
      <w:r>
        <w:rPr>
          <w:lang w:val="fr-FR"/>
        </w:rPr>
        <w:t xml:space="preserve">s de servitude « urbanisation » </w:t>
      </w:r>
      <w:r w:rsidRPr="000815EE">
        <w:rPr>
          <w:lang w:val="fr-FR"/>
        </w:rPr>
        <w:t>comprennent des terrains situés dans les zones urbanisées, les zones destinées à être urbanisées ou dans les zones destinées à rester libres.</w:t>
      </w:r>
    </w:p>
    <w:p w14:paraId="16EF840B" w14:textId="77777777" w:rsidR="000815EE" w:rsidRPr="000815EE" w:rsidRDefault="000815EE" w:rsidP="000815EE">
      <w:pPr>
        <w:rPr>
          <w:lang w:val="fr-FR"/>
        </w:rPr>
      </w:pPr>
      <w:r w:rsidRPr="000815EE">
        <w:rPr>
          <w:lang w:val="fr-FR"/>
        </w:rPr>
        <w:t>Des prescriptions spécifiques sont définies ci-après pour ces zones, aux fins d’assurer la sauvegarde de la qualité urbanistique ainsi que de l’environnement naturel et du paysage d’une certaine partie du territoire communal. Elles sont à mettre en œuvre lors de l’aménagement des terrains concernés.</w:t>
      </w:r>
    </w:p>
    <w:p w14:paraId="38FDEE07" w14:textId="42B25B0D" w:rsidR="006605E2" w:rsidRDefault="000815EE" w:rsidP="000815EE">
      <w:pPr>
        <w:rPr>
          <w:lang w:val="fr-FR"/>
        </w:rPr>
      </w:pPr>
      <w:r w:rsidRPr="000815EE">
        <w:rPr>
          <w:lang w:val="fr-FR"/>
        </w:rPr>
        <w:t>Les différentes servitudes reprises en partie graphique sont détaillé</w:t>
      </w:r>
      <w:r>
        <w:rPr>
          <w:lang w:val="fr-FR"/>
        </w:rPr>
        <w:t>es ci-après</w:t>
      </w:r>
      <w:r w:rsidRPr="000815EE">
        <w:rPr>
          <w:lang w:val="fr-FR"/>
        </w:rPr>
        <w:t>:</w:t>
      </w:r>
    </w:p>
    <w:p w14:paraId="6CCD65F9" w14:textId="0D2DD192" w:rsidR="00EC783D" w:rsidRPr="00EC783D" w:rsidRDefault="00EC783D" w:rsidP="00EC783D">
      <w:pPr>
        <w:pStyle w:val="Heading2"/>
        <w:rPr>
          <w:lang w:val="fr-FR"/>
        </w:rPr>
      </w:pPr>
      <w:r>
        <w:rPr>
          <w:lang w:val="fr-FR"/>
        </w:rPr>
        <w:t xml:space="preserve">Art. </w:t>
      </w:r>
      <w:r w:rsidRPr="00EC783D">
        <w:rPr>
          <w:lang w:val="fr-FR"/>
        </w:rPr>
        <w:t>18.12</w:t>
      </w:r>
      <w:r>
        <w:rPr>
          <w:lang w:val="fr-FR"/>
        </w:rPr>
        <w:t xml:space="preserve"> </w:t>
      </w:r>
      <w:r w:rsidRPr="00EC783D">
        <w:rPr>
          <w:lang w:val="fr-FR"/>
        </w:rPr>
        <w:t xml:space="preserve">Servitude </w:t>
      </w:r>
      <w:r>
        <w:rPr>
          <w:lang w:val="fr-FR"/>
        </w:rPr>
        <w:t>« </w:t>
      </w:r>
      <w:r w:rsidRPr="00EC783D">
        <w:rPr>
          <w:lang w:val="fr-FR"/>
        </w:rPr>
        <w:t>urbanisation</w:t>
      </w:r>
      <w:r>
        <w:rPr>
          <w:lang w:val="fr-FR"/>
        </w:rPr>
        <w:t> »</w:t>
      </w:r>
      <w:r w:rsidRPr="00EC783D">
        <w:rPr>
          <w:lang w:val="fr-FR"/>
        </w:rPr>
        <w:t xml:space="preserve"> - 11</w:t>
      </w:r>
    </w:p>
    <w:p w14:paraId="1ECDE351" w14:textId="7EE72FCC" w:rsidR="00EC783D" w:rsidRPr="00EC783D" w:rsidRDefault="00EC783D" w:rsidP="00EC783D">
      <w:pPr>
        <w:rPr>
          <w:lang w:val="fr-FR"/>
        </w:rPr>
      </w:pPr>
      <w:r w:rsidRPr="00EC783D">
        <w:rPr>
          <w:lang w:val="fr-FR"/>
        </w:rPr>
        <w:t xml:space="preserve">La servitude </w:t>
      </w:r>
      <w:r>
        <w:rPr>
          <w:lang w:val="fr-FR"/>
        </w:rPr>
        <w:t>« </w:t>
      </w:r>
      <w:r w:rsidRPr="00EC783D">
        <w:rPr>
          <w:lang w:val="fr-FR"/>
        </w:rPr>
        <w:t>urbanisation</w:t>
      </w:r>
      <w:r>
        <w:rPr>
          <w:lang w:val="fr-FR"/>
        </w:rPr>
        <w:t> » - 11 sert à</w:t>
      </w:r>
      <w:r w:rsidRPr="00EC783D">
        <w:rPr>
          <w:lang w:val="fr-FR"/>
        </w:rPr>
        <w:t>:</w:t>
      </w:r>
    </w:p>
    <w:p w14:paraId="0D04C536" w14:textId="77777777" w:rsidR="00EC783D" w:rsidRDefault="00EC783D" w:rsidP="00EC783D">
      <w:pPr>
        <w:pStyle w:val="ListParagraph"/>
        <w:numPr>
          <w:ilvl w:val="0"/>
          <w:numId w:val="8"/>
        </w:numPr>
        <w:rPr>
          <w:lang w:val="fr-FR"/>
        </w:rPr>
      </w:pPr>
      <w:proofErr w:type="gramStart"/>
      <w:r w:rsidRPr="00EC783D">
        <w:rPr>
          <w:lang w:val="fr-FR"/>
        </w:rPr>
        <w:t>préserver</w:t>
      </w:r>
      <w:proofErr w:type="gramEnd"/>
      <w:r w:rsidRPr="00EC783D">
        <w:rPr>
          <w:lang w:val="fr-FR"/>
        </w:rPr>
        <w:t xml:space="preserve"> les éléments verts significatifs au titre de l’environnement naturel (c.-à-d. digne de protection), notamment des arbres fruitiers isolés à l’est de la zone directement derrière les bâtisses ainsi qu’à l’ouest le long de la voirie</w:t>
      </w:r>
    </w:p>
    <w:p w14:paraId="4F5BD917" w14:textId="1B75B09A" w:rsidR="00EC783D" w:rsidRPr="00EC783D" w:rsidRDefault="00EC783D" w:rsidP="00EC783D">
      <w:pPr>
        <w:pStyle w:val="ListParagraph"/>
        <w:numPr>
          <w:ilvl w:val="0"/>
          <w:numId w:val="8"/>
        </w:numPr>
        <w:rPr>
          <w:lang w:val="fr-FR"/>
        </w:rPr>
      </w:pPr>
      <w:bookmarkStart w:id="0" w:name="_GoBack"/>
      <w:bookmarkEnd w:id="0"/>
      <w:proofErr w:type="gramStart"/>
      <w:r w:rsidRPr="00EC783D">
        <w:rPr>
          <w:lang w:val="fr-FR"/>
        </w:rPr>
        <w:t>garantir</w:t>
      </w:r>
      <w:proofErr w:type="gramEnd"/>
      <w:r w:rsidRPr="00EC783D">
        <w:rPr>
          <w:lang w:val="fr-FR"/>
        </w:rPr>
        <w:t xml:space="preserve"> une transition harmonieuse entre le village et le paysage ouvert par la plantation de nouveaux arbres fruitiers sur la limite sud lors de tout projet d’aménagement</w:t>
      </w:r>
    </w:p>
    <w:sectPr w:rsidR="00EC783D" w:rsidRPr="00EC783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96F6D"/>
    <w:multiLevelType w:val="hybridMultilevel"/>
    <w:tmpl w:val="1F52165A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27052C"/>
    <w:multiLevelType w:val="hybridMultilevel"/>
    <w:tmpl w:val="35CC4B78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7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815EE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EC783D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2022-02-16T09:25:00Z</dcterms:modified>
</cp:coreProperties>
</file>