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0B1CF" w14:textId="77777777" w:rsidR="00256FBD" w:rsidRDefault="00256FBD" w:rsidP="00256FBD">
      <w:pPr>
        <w:pStyle w:val="Heading1"/>
      </w:pPr>
      <w:r>
        <w:t>Art. 9 Zones d’activités économiques communales type 2 [ECO-c2]</w:t>
      </w:r>
    </w:p>
    <w:p w14:paraId="6071AC1E" w14:textId="418985AB" w:rsidR="00F74AC3" w:rsidRDefault="00F74AC3" w:rsidP="00F74AC3">
      <w:r>
        <w:t>Les zones d’activités économiques communales type 2 sont destinées aux établissements industriels et</w:t>
      </w:r>
      <w:r>
        <w:t xml:space="preserve"> </w:t>
      </w:r>
      <w:r>
        <w:t>aux activités de production, d’assemblage et de transformation qui de par leurs dimensions ou leur car</w:t>
      </w:r>
      <w:r>
        <w:t>ac</w:t>
      </w:r>
      <w:r>
        <w:t>tère, ne sont pas compatibles avec les zones d’activités économiques définies à l’article 8. Y sont admises</w:t>
      </w:r>
      <w:r>
        <w:t xml:space="preserve"> </w:t>
      </w:r>
      <w:r>
        <w:t>les prestations de services liées aux activités de la zone.</w:t>
      </w:r>
    </w:p>
    <w:p w14:paraId="03E4DA10" w14:textId="77777777" w:rsidR="00F74AC3" w:rsidRDefault="00F74AC3" w:rsidP="00F74AC3">
      <w:r>
        <w:t>Y sont admis des établissements de restauration en relation directe avec les besoins de la zone concernée.</w:t>
      </w:r>
    </w:p>
    <w:p w14:paraId="38FDEE07" w14:textId="384C2B67" w:rsidR="006605E2" w:rsidRPr="007D461A" w:rsidRDefault="00F74AC3" w:rsidP="00F74AC3">
      <w:r>
        <w:t>L’installation de logements y est prohibée, à l’exception de logements de service à l’usage du personnel</w:t>
      </w:r>
      <w:r>
        <w:t xml:space="preserve"> </w:t>
      </w:r>
      <w:r>
        <w:t>dont la présence permanente est nécessaire pour assurer la direction ou la surveillance d’une entreprise</w:t>
      </w:r>
      <w:r>
        <w:t xml:space="preserve"> </w:t>
      </w:r>
      <w:r>
        <w:t>particulière. Ces logements sont à intégrer dans le corps même des constructions</w:t>
      </w:r>
      <w:r>
        <w:t>.</w:t>
      </w:r>
      <w:bookmarkStart w:id="0" w:name="_GoBack"/>
      <w:bookmarkEnd w:id="0"/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56FBD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74AC3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2024-05-29T12:38:00Z</dcterms:modified>
</cp:coreProperties>
</file>