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35C52" w14:textId="77777777" w:rsidR="008D4213" w:rsidRDefault="008D4213" w:rsidP="008D4213">
      <w:pPr>
        <w:pStyle w:val="Heading1"/>
      </w:pPr>
      <w:r>
        <w:t>Art. 14 Emplacements de stationnement</w:t>
      </w:r>
    </w:p>
    <w:p w14:paraId="3E3A787D" w14:textId="40EC7601" w:rsidR="008D4213" w:rsidRDefault="008D4213" w:rsidP="008D4213">
      <w:r>
        <w:t>Le nombre d’emplacements de stationnement est prévu en fonction de la destination projetée. Sont à considérer comme minimum pour les destinations suivantes:</w:t>
      </w:r>
    </w:p>
    <w:p w14:paraId="24473712" w14:textId="77777777" w:rsidR="008D4213" w:rsidRDefault="008D4213" w:rsidP="008D4213">
      <w:pPr>
        <w:pStyle w:val="ListParagraph"/>
        <w:numPr>
          <w:ilvl w:val="0"/>
          <w:numId w:val="7"/>
        </w:numPr>
      </w:pPr>
      <w:proofErr w:type="gramStart"/>
      <w:r>
        <w:t>deux</w:t>
      </w:r>
      <w:proofErr w:type="gramEnd"/>
      <w:r>
        <w:t xml:space="preserve"> (2) emplacements par logement;</w:t>
      </w:r>
    </w:p>
    <w:p w14:paraId="12DBA9B5" w14:textId="77777777" w:rsidR="00C7114D" w:rsidRDefault="00C7114D" w:rsidP="00C7114D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 w:rsidR="008D4213">
        <w:t xml:space="preserve"> emplacements (2) par tranche de </w:t>
      </w:r>
      <w:r>
        <w:t>4</w:t>
      </w:r>
      <w:r w:rsidR="008D4213">
        <w:t>0 m</w:t>
      </w:r>
      <w:r w:rsidR="008D4213" w:rsidRPr="008D4213">
        <w:rPr>
          <w:vertAlign w:val="superscript"/>
        </w:rPr>
        <w:t>2</w:t>
      </w:r>
      <w:r w:rsidR="008D4213">
        <w:t xml:space="preserve"> de surface </w:t>
      </w:r>
      <w:r>
        <w:t>construite brute</w:t>
      </w:r>
      <w:r w:rsidR="008D4213">
        <w:t xml:space="preserve"> pour les administrations</w:t>
      </w:r>
      <w:r>
        <w:t xml:space="preserve"> et les</w:t>
      </w:r>
      <w:r w:rsidR="008D4213">
        <w:t xml:space="preserve"> commerces,</w:t>
      </w:r>
    </w:p>
    <w:p w14:paraId="6C200D1F" w14:textId="77777777" w:rsidR="00C7114D" w:rsidRDefault="00C7114D" w:rsidP="00C7114D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(1) par tranche de 30 m</w:t>
      </w:r>
      <w:r w:rsidRPr="00C7114D">
        <w:rPr>
          <w:vertAlign w:val="superscript"/>
        </w:rPr>
        <w:t>2</w:t>
      </w:r>
      <w:r>
        <w:t xml:space="preserve"> de surface construite brut</w:t>
      </w:r>
      <w:r>
        <w:t>e pour les cafés et restaurants</w:t>
      </w:r>
      <w:r>
        <w:t>;</w:t>
      </w:r>
    </w:p>
    <w:p w14:paraId="1AD77360" w14:textId="77777777" w:rsidR="00C7114D" w:rsidRDefault="00C7114D" w:rsidP="00C7114D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(1) par tranche de 70 m</w:t>
      </w:r>
      <w:r w:rsidRPr="00C7114D">
        <w:rPr>
          <w:vertAlign w:val="superscript"/>
        </w:rPr>
        <w:t>2</w:t>
      </w:r>
      <w:r>
        <w:t xml:space="preserve"> de surface construite b</w:t>
      </w:r>
      <w:r>
        <w:t>rute pour les établissements ar</w:t>
      </w:r>
      <w:r>
        <w:t>tisanaux;</w:t>
      </w:r>
    </w:p>
    <w:p w14:paraId="272A1A19" w14:textId="77777777" w:rsidR="00C7114D" w:rsidRDefault="00C7114D" w:rsidP="00C7114D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(1) par tranche de 10 sièges pour les salles de réunions;</w:t>
      </w:r>
    </w:p>
    <w:p w14:paraId="5021F0B8" w14:textId="77777777" w:rsidR="00C7114D" w:rsidRDefault="00C7114D" w:rsidP="00C7114D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(1) par tranche de 70 m</w:t>
      </w:r>
      <w:r w:rsidRPr="00C7114D">
        <w:rPr>
          <w:vertAlign w:val="superscript"/>
        </w:rPr>
        <w:t>2</w:t>
      </w:r>
      <w:r>
        <w:t xml:space="preserve"> de surface construite brute pour les stations d'essence</w:t>
      </w:r>
      <w:r>
        <w:t xml:space="preserve"> </w:t>
      </w:r>
      <w:r>
        <w:t>et les garages de réparation avec un minimum de 3 places;</w:t>
      </w:r>
    </w:p>
    <w:p w14:paraId="6C925852" w14:textId="77777777" w:rsidR="00C7114D" w:rsidRDefault="00C7114D" w:rsidP="00C7114D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(1) par tranche de 3 lits pour les constructions hôtelières,</w:t>
      </w:r>
    </w:p>
    <w:p w14:paraId="3C6F022F" w14:textId="77777777" w:rsidR="00C7114D" w:rsidRDefault="00C7114D" w:rsidP="00C7114D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(1) par tranche de 1,5 lit pour les maisons de soins ou les maisons de retraite,</w:t>
      </w:r>
    </w:p>
    <w:p w14:paraId="3EFD983D" w14:textId="77777777" w:rsidR="00C7114D" w:rsidRDefault="00C7114D" w:rsidP="00C7114D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(1) par tranche de 40 m</w:t>
      </w:r>
      <w:r w:rsidRPr="00C7114D">
        <w:rPr>
          <w:vertAlign w:val="superscript"/>
        </w:rPr>
        <w:t>2</w:t>
      </w:r>
      <w:r>
        <w:t xml:space="preserve"> de surface construite brute pour les maisons relais et</w:t>
      </w:r>
      <w:r>
        <w:t xml:space="preserve"> </w:t>
      </w:r>
      <w:r>
        <w:t>les crèches,</w:t>
      </w:r>
    </w:p>
    <w:p w14:paraId="6153DF0B" w14:textId="7D485D02" w:rsidR="008D4213" w:rsidRDefault="00C7114D" w:rsidP="000E60BE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autres affectations ou entreprises ne figurant pas la présente liste, le bourgmestre fixe un</w:t>
      </w:r>
      <w:r>
        <w:t xml:space="preserve"> </w:t>
      </w:r>
      <w:r>
        <w:t>nombre suffisant d’emplacements de stationnement en fonction de la destination projetée.</w:t>
      </w:r>
    </w:p>
    <w:p w14:paraId="607D8B9A" w14:textId="1409912E" w:rsidR="00C7114D" w:rsidRDefault="00C7114D" w:rsidP="00C7114D">
      <w:r>
        <w:t>Les établissements commerciaux et artisanaux devront en outre prévoir sur leur terrain un nombre suffisant</w:t>
      </w:r>
      <w:r>
        <w:t xml:space="preserve"> </w:t>
      </w:r>
      <w:r>
        <w:t>d'emplacements de stationnement pour leurs véhicules utilitaires avec un minimum d'un emplacement.</w:t>
      </w:r>
    </w:p>
    <w:p w14:paraId="743F5516" w14:textId="57FE09D2" w:rsidR="00C7114D" w:rsidRDefault="00C7114D" w:rsidP="00C7114D">
      <w:r>
        <w:t>Pour des raisons urbanistiques, architecturales et esthétiques, de mobilité ou de sécurité, le Bourgmestre</w:t>
      </w:r>
      <w:r>
        <w:t xml:space="preserve"> </w:t>
      </w:r>
      <w:r>
        <w:t>peut demander des emplacements supplémentaires ou réduire le nombre des emplacements.</w:t>
      </w:r>
    </w:p>
    <w:p w14:paraId="607E0FBC" w14:textId="244DEC89" w:rsidR="00C7114D" w:rsidRDefault="00C7114D" w:rsidP="00C7114D">
      <w:r>
        <w:t>Sauf exception autorisée par le Bourgmestre, notamment dans le cas des emplacements regroupés, les</w:t>
      </w:r>
      <w:r>
        <w:t xml:space="preserve"> </w:t>
      </w:r>
      <w:r>
        <w:t>places de stationnement sont aménagées sur le même bien-fonds que la construction à laquelle elles se</w:t>
      </w:r>
      <w:r>
        <w:t xml:space="preserve"> </w:t>
      </w:r>
      <w:r>
        <w:t>rapportent. Les emplacements de stationnement réalisés obligatoirement en rapport avec la destination</w:t>
      </w:r>
      <w:r>
        <w:t xml:space="preserve"> </w:t>
      </w:r>
      <w:r>
        <w:t>projetée sont liés de manière indissociable à cette dernière. Notamment l</w:t>
      </w:r>
      <w:r>
        <w:t>es places de stationnement obli</w:t>
      </w:r>
      <w:r>
        <w:t>gatoires pour un logement ne peuvent pas être vendues séparément de ce dernier.</w:t>
      </w:r>
    </w:p>
    <w:p w14:paraId="3D97A217" w14:textId="75886507" w:rsidR="00C7114D" w:rsidRDefault="00C7114D" w:rsidP="00C7114D">
      <w:r>
        <w:lastRenderedPageBreak/>
        <w:t>Lorsque des emplacements de stationnement obligatoires ont été supprimés, pour quelque cause que ce</w:t>
      </w:r>
      <w:r>
        <w:t xml:space="preserve"> </w:t>
      </w:r>
      <w:r>
        <w:t>soit, le propriétaire est tenu de les remplacer. Ces emplacements ne pourront être pris en compte que pour</w:t>
      </w:r>
      <w:r>
        <w:t xml:space="preserve"> </w:t>
      </w:r>
      <w:r>
        <w:t>une seule et même construction.</w:t>
      </w:r>
    </w:p>
    <w:p w14:paraId="086318AB" w14:textId="5AC8394D" w:rsidR="00C7114D" w:rsidRDefault="00C7114D" w:rsidP="00C7114D">
      <w:r>
        <w:t>Le dossier de demande d’autorisation de bâtir indique clairement le calcul du nombre de voitures et leur</w:t>
      </w:r>
      <w:r>
        <w:t xml:space="preserve"> </w:t>
      </w:r>
      <w:r>
        <w:t>emplacement exact.</w:t>
      </w:r>
    </w:p>
    <w:p w14:paraId="17651DF6" w14:textId="1343E3FB" w:rsidR="00C7114D" w:rsidRDefault="00C7114D" w:rsidP="00C7114D">
      <w:r>
        <w:t>Dans le cadre de l’aménagement des aires de stationnement ayant rapport à des constructions nouvelles</w:t>
      </w:r>
      <w:r>
        <w:t xml:space="preserve"> </w:t>
      </w:r>
      <w:r>
        <w:t>et à des transformations de bâtiments, publics ou privés, un nombre suff</w:t>
      </w:r>
      <w:r>
        <w:t>isant d’emplacements de station</w:t>
      </w:r>
      <w:r>
        <w:t>nement pour vélos doit être mis en place en fonction de l’affectation prévue. Sont à considérer comme</w:t>
      </w:r>
      <w:r>
        <w:t xml:space="preserve"> </w:t>
      </w:r>
      <w:r>
        <w:t>minimum pour les utilisations suivantes:</w:t>
      </w:r>
    </w:p>
    <w:p w14:paraId="13A0BC7A" w14:textId="77777777" w:rsidR="00C7114D" w:rsidRDefault="00C7114D" w:rsidP="00C7114D">
      <w:pPr>
        <w:pStyle w:val="ListParagraph"/>
        <w:numPr>
          <w:ilvl w:val="0"/>
          <w:numId w:val="9"/>
        </w:numPr>
      </w:pPr>
      <w:proofErr w:type="gramStart"/>
      <w:r>
        <w:t>un</w:t>
      </w:r>
      <w:proofErr w:type="gramEnd"/>
      <w:r>
        <w:t xml:space="preserve"> (1) emplacement par tranche de 50 m</w:t>
      </w:r>
      <w:r w:rsidRPr="00C7114D">
        <w:rPr>
          <w:vertAlign w:val="superscript"/>
        </w:rPr>
        <w:t>2</w:t>
      </w:r>
      <w:r>
        <w:t xml:space="preserve"> de surface habitable pour les maisons d'habitations à</w:t>
      </w:r>
      <w:r>
        <w:t xml:space="preserve"> </w:t>
      </w:r>
      <w:r>
        <w:t>partir de 4 logements,</w:t>
      </w:r>
    </w:p>
    <w:p w14:paraId="40851BC9" w14:textId="77777777" w:rsidR="00C7114D" w:rsidRDefault="00C7114D" w:rsidP="00C7114D">
      <w:pPr>
        <w:pStyle w:val="ListParagraph"/>
        <w:numPr>
          <w:ilvl w:val="0"/>
          <w:numId w:val="9"/>
        </w:numPr>
      </w:pPr>
      <w:proofErr w:type="gramStart"/>
      <w:r>
        <w:t>un</w:t>
      </w:r>
      <w:proofErr w:type="gramEnd"/>
      <w:r>
        <w:t xml:space="preserve"> (1) emplacement par tranche de 500 m</w:t>
      </w:r>
      <w:r w:rsidRPr="00C7114D">
        <w:rPr>
          <w:vertAlign w:val="superscript"/>
        </w:rPr>
        <w:t>2</w:t>
      </w:r>
      <w:r>
        <w:t xml:space="preserve"> de surface construit</w:t>
      </w:r>
      <w:r>
        <w:t>e brute pour les immeubles admi</w:t>
      </w:r>
      <w:r>
        <w:t>nistratifs et activités des services professionnels avec un supplément d’un (1) emplacement par</w:t>
      </w:r>
      <w:r>
        <w:t xml:space="preserve"> </w:t>
      </w:r>
      <w:r>
        <w:t>tranche de 70 m</w:t>
      </w:r>
      <w:r w:rsidRPr="00C7114D">
        <w:rPr>
          <w:vertAlign w:val="superscript"/>
        </w:rPr>
        <w:t>2</w:t>
      </w:r>
      <w:r>
        <w:t xml:space="preserve"> de surface construite brute pour les activités générant un taux de visiteurs élevé</w:t>
      </w:r>
    </w:p>
    <w:p w14:paraId="5A8E2AEE" w14:textId="77777777" w:rsidR="00C7114D" w:rsidRDefault="00C7114D" w:rsidP="00C7114D">
      <w:pPr>
        <w:pStyle w:val="ListParagraph"/>
        <w:numPr>
          <w:ilvl w:val="0"/>
          <w:numId w:val="9"/>
        </w:numPr>
      </w:pPr>
      <w:proofErr w:type="gramStart"/>
      <w:r>
        <w:t>un</w:t>
      </w:r>
      <w:proofErr w:type="gramEnd"/>
      <w:r>
        <w:t xml:space="preserve"> (1) emplacement par classe scolaire pour écoles primaires et autres établissements scolaires,</w:t>
      </w:r>
    </w:p>
    <w:p w14:paraId="135C9285" w14:textId="77777777" w:rsidR="00C7114D" w:rsidRDefault="00C7114D" w:rsidP="00C7114D">
      <w:pPr>
        <w:pStyle w:val="ListParagraph"/>
        <w:numPr>
          <w:ilvl w:val="0"/>
          <w:numId w:val="9"/>
        </w:numPr>
      </w:pPr>
      <w:proofErr w:type="gramStart"/>
      <w:r>
        <w:t>trente</w:t>
      </w:r>
      <w:proofErr w:type="gramEnd"/>
      <w:r>
        <w:t xml:space="preserve"> (30) emplacements pour les arrêts ferroviaires</w:t>
      </w:r>
    </w:p>
    <w:p w14:paraId="62D6FE9D" w14:textId="77777777" w:rsidR="00C7114D" w:rsidRDefault="00C7114D" w:rsidP="00C7114D">
      <w:pPr>
        <w:pStyle w:val="ListParagraph"/>
        <w:numPr>
          <w:ilvl w:val="0"/>
          <w:numId w:val="9"/>
        </w:numPr>
      </w:pPr>
      <w:proofErr w:type="gramStart"/>
      <w:r>
        <w:t>un</w:t>
      </w:r>
      <w:proofErr w:type="gramEnd"/>
      <w:r>
        <w:t xml:space="preserve"> (1) emplacement par tranche de 200 m</w:t>
      </w:r>
      <w:r w:rsidRPr="00C7114D">
        <w:rPr>
          <w:vertAlign w:val="superscript"/>
        </w:rPr>
        <w:t>2</w:t>
      </w:r>
      <w:r>
        <w:t xml:space="preserve"> de surface de vente pour les immeubles de commerce</w:t>
      </w:r>
      <w:r>
        <w:t xml:space="preserve"> </w:t>
      </w:r>
      <w:r>
        <w:t>à partir de 1.000 m</w:t>
      </w:r>
      <w:r w:rsidRPr="00C7114D">
        <w:rPr>
          <w:vertAlign w:val="superscript"/>
        </w:rPr>
        <w:t>2</w:t>
      </w:r>
      <w:r>
        <w:t xml:space="preserve"> de surface de vente</w:t>
      </w:r>
    </w:p>
    <w:p w14:paraId="51E84135" w14:textId="06F209ED" w:rsidR="00C7114D" w:rsidRDefault="00C7114D" w:rsidP="002224DB">
      <w:pPr>
        <w:pStyle w:val="ListParagraph"/>
        <w:numPr>
          <w:ilvl w:val="0"/>
          <w:numId w:val="9"/>
        </w:numPr>
      </w:pPr>
      <w:proofErr w:type="gramStart"/>
      <w:r>
        <w:t>un</w:t>
      </w:r>
      <w:proofErr w:type="gramEnd"/>
      <w:r>
        <w:t xml:space="preserve"> (1) emplacement par tranche de 40 places de visiteurs pour les infrastructures culturelles avec</w:t>
      </w:r>
      <w:r>
        <w:t xml:space="preserve"> </w:t>
      </w:r>
      <w:r>
        <w:t>places de visiteurs.</w:t>
      </w:r>
    </w:p>
    <w:p w14:paraId="0DFCDE38" w14:textId="57E3E1EC" w:rsidR="00C7114D" w:rsidRPr="007D461A" w:rsidRDefault="00C7114D" w:rsidP="00C7114D">
      <w:r>
        <w:t>Un emplacement de vélo doit correspondre à une surface d'au moins 1 m</w:t>
      </w:r>
      <w:r w:rsidRPr="00C7114D">
        <w:rPr>
          <w:vertAlign w:val="superscript"/>
        </w:rPr>
        <w:t>2</w:t>
      </w:r>
      <w:r>
        <w:t xml:space="preserve"> et être équipé de façon à per</w:t>
      </w:r>
      <w:r>
        <w:t>mettre la protection du vélo contre le vol</w:t>
      </w:r>
      <w:bookmarkStart w:id="0" w:name="_GoBack"/>
      <w:bookmarkEnd w:id="0"/>
      <w:r>
        <w:t>.</w:t>
      </w:r>
    </w:p>
    <w:sectPr w:rsidR="00C7114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12FF4"/>
    <w:multiLevelType w:val="hybridMultilevel"/>
    <w:tmpl w:val="D3088D7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6B4230"/>
    <w:multiLevelType w:val="hybridMultilevel"/>
    <w:tmpl w:val="E488DF5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3718D"/>
    <w:multiLevelType w:val="hybridMultilevel"/>
    <w:tmpl w:val="093A3B7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D4213"/>
    <w:rsid w:val="009D6555"/>
    <w:rsid w:val="00A610F9"/>
    <w:rsid w:val="00AD5B20"/>
    <w:rsid w:val="00B11E93"/>
    <w:rsid w:val="00B208F3"/>
    <w:rsid w:val="00C10C63"/>
    <w:rsid w:val="00C7114D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2024-05-29T12:43:00Z</dcterms:modified>
</cp:coreProperties>
</file>