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302AF" w14:textId="77777777" w:rsidR="00A42BE8" w:rsidRDefault="00A42BE8" w:rsidP="00A42BE8">
      <w:pPr>
        <w:pStyle w:val="Heading1"/>
      </w:pPr>
      <w:r>
        <w:t>Art. 15 Zones destinées à rester libres</w:t>
      </w:r>
    </w:p>
    <w:p w14:paraId="533AB49C" w14:textId="77777777" w:rsidR="00A42BE8" w:rsidRDefault="00A42BE8" w:rsidP="00A42BE8">
      <w:r>
        <w:t>Les zones destinées à rester libres comprennent:</w:t>
      </w:r>
    </w:p>
    <w:p w14:paraId="47725DA6" w14:textId="77777777" w:rsidR="00A42BE8" w:rsidRDefault="00A42BE8" w:rsidP="00A42BE8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agricoles;</w:t>
      </w:r>
    </w:p>
    <w:p w14:paraId="424ED2D7" w14:textId="77777777" w:rsidR="00A42BE8" w:rsidRDefault="00A42BE8" w:rsidP="00A42BE8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forestières;</w:t>
      </w:r>
    </w:p>
    <w:p w14:paraId="09E8223E" w14:textId="77777777" w:rsidR="00A42BE8" w:rsidRDefault="00A42BE8" w:rsidP="00A42BE8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de parc public;</w:t>
      </w:r>
    </w:p>
    <w:p w14:paraId="7C453119" w14:textId="6E854655" w:rsidR="00A42BE8" w:rsidRDefault="00A42BE8" w:rsidP="00A42BE8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de verdure.</w:t>
      </w:r>
    </w:p>
    <w:p w14:paraId="38FDEE07" w14:textId="3E25F223" w:rsidR="006605E2" w:rsidRPr="007D461A" w:rsidRDefault="00A42BE8" w:rsidP="00A42BE8">
      <w:r>
        <w:t>Seules sont autorisées des constructions définies en tant qu'admissibles dans la loi modifiée du 19 janvier</w:t>
      </w:r>
      <w:r>
        <w:t xml:space="preserve"> </w:t>
      </w:r>
      <w:bookmarkStart w:id="0" w:name="_GoBack"/>
      <w:bookmarkEnd w:id="0"/>
      <w:r>
        <w:t>2004 concernant la protection de la nature et des ressources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C6B47"/>
    <w:multiLevelType w:val="hybridMultilevel"/>
    <w:tmpl w:val="B1E6610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42BE8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2022-09-05T12:10:00Z</dcterms:modified>
</cp:coreProperties>
</file>