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5E17E" w14:textId="704B5D17" w:rsidR="00A745B9" w:rsidRDefault="00A745B9" w:rsidP="00A745B9">
      <w:pPr>
        <w:pStyle w:val="Title"/>
      </w:pPr>
      <w:r>
        <w:t>Les règles applicables à la zone de bâtiments et d’équipements</w:t>
      </w:r>
      <w:r>
        <w:t xml:space="preserve"> </w:t>
      </w:r>
      <w:r>
        <w:t>publics [BEP]</w:t>
      </w:r>
    </w:p>
    <w:p w14:paraId="0E587BEA" w14:textId="77777777" w:rsidR="00A745B9" w:rsidRDefault="00A745B9" w:rsidP="00A745B9">
      <w:pPr>
        <w:pStyle w:val="Heading1"/>
      </w:pPr>
      <w:r>
        <w:t>Art. 19 Types et disposition des constructions</w:t>
      </w:r>
    </w:p>
    <w:p w14:paraId="6C945C55" w14:textId="2F3EB79C" w:rsidR="00A745B9" w:rsidRDefault="00A745B9" w:rsidP="00A745B9">
      <w:r>
        <w:t>Les zones de bâtiments et d’équipements publics sont réservées aux constructions et aménagements</w:t>
      </w:r>
      <w:r>
        <w:t xml:space="preserve"> </w:t>
      </w:r>
      <w:r>
        <w:t>d’utilité publique et sont destinées à satisfaire des besoins collectifs.</w:t>
      </w:r>
    </w:p>
    <w:p w14:paraId="12A707AB" w14:textId="77777777" w:rsidR="00A745B9" w:rsidRDefault="00A745B9" w:rsidP="00A745B9">
      <w:r>
        <w:t>Les constructions peuvent être implantées en ordre contigu si l’utilisation envisagée l’exige.</w:t>
      </w:r>
    </w:p>
    <w:p w14:paraId="2CDDD60E" w14:textId="77777777" w:rsidR="00A745B9" w:rsidRDefault="00A745B9" w:rsidP="00A745B9">
      <w:r>
        <w:t>La construction en deuxième position est autorisée, si l’accès pour les services de secours est garanti.</w:t>
      </w:r>
    </w:p>
    <w:p w14:paraId="5569B3FF" w14:textId="77777777" w:rsidR="00A745B9" w:rsidRDefault="00A745B9" w:rsidP="00A745B9">
      <w:pPr>
        <w:pStyle w:val="Heading1"/>
      </w:pPr>
      <w:r>
        <w:t>Art. 20 Le nombre de logements par bâtiment</w:t>
      </w:r>
    </w:p>
    <w:p w14:paraId="532B2077" w14:textId="77777777" w:rsidR="00A745B9" w:rsidRDefault="00A745B9" w:rsidP="00A745B9">
      <w:r>
        <w:t>Un logement de service par équipement est permis.</w:t>
      </w:r>
    </w:p>
    <w:p w14:paraId="1EDDAF5D" w14:textId="5F8236A6" w:rsidR="00A745B9" w:rsidRDefault="00A745B9" w:rsidP="00A745B9">
      <w:r>
        <w:t>Le nombre de logement est déterminé par les autorités communales selon les exigences de</w:t>
      </w:r>
      <w:r>
        <w:t xml:space="preserve"> </w:t>
      </w:r>
      <w:r>
        <w:t>l’utilisation envisagée.</w:t>
      </w:r>
    </w:p>
    <w:p w14:paraId="38FDEE07" w14:textId="4333374F" w:rsidR="006605E2" w:rsidRDefault="00A745B9" w:rsidP="00A745B9">
      <w:pPr>
        <w:pStyle w:val="Heading1"/>
      </w:pPr>
      <w:r>
        <w:t>Art. 21 Hauteurs et nombre de niveaux des constructions</w:t>
      </w: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2953"/>
        <w:gridCol w:w="874"/>
      </w:tblGrid>
      <w:tr w:rsidR="00A745B9" w:rsidRPr="00A745B9" w14:paraId="2C8C26F3" w14:textId="77777777" w:rsidTr="00A745B9">
        <w:trPr>
          <w:trHeight w:val="349"/>
        </w:trPr>
        <w:tc>
          <w:tcPr>
            <w:tcW w:w="2953" w:type="dxa"/>
            <w:shd w:val="clear" w:color="auto" w:fill="BFBFBF" w:themeFill="background1" w:themeFillShade="BF"/>
            <w:vAlign w:val="center"/>
          </w:tcPr>
          <w:p w14:paraId="2ABEF72D" w14:textId="77777777" w:rsidR="00A745B9" w:rsidRPr="00A745B9" w:rsidRDefault="00A745B9" w:rsidP="00A745B9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874" w:type="dxa"/>
            <w:shd w:val="clear" w:color="auto" w:fill="BFBFBF" w:themeFill="background1" w:themeFillShade="BF"/>
            <w:vAlign w:val="center"/>
          </w:tcPr>
          <w:p w14:paraId="7B1D4279" w14:textId="0EA2BC30" w:rsidR="00A745B9" w:rsidRPr="00A745B9" w:rsidRDefault="00A745B9" w:rsidP="00A745B9">
            <w:pPr>
              <w:pStyle w:val="NormalTableau"/>
              <w:jc w:val="center"/>
              <w:rPr>
                <w:b/>
                <w:u w:val="single"/>
              </w:rPr>
            </w:pPr>
            <w:r w:rsidRPr="00A745B9">
              <w:rPr>
                <w:b/>
                <w:u w:val="single"/>
              </w:rPr>
              <w:t>BEP</w:t>
            </w:r>
          </w:p>
        </w:tc>
      </w:tr>
      <w:tr w:rsidR="00A745B9" w:rsidRPr="00A745B9" w14:paraId="15E8577E" w14:textId="77777777" w:rsidTr="00A745B9">
        <w:tc>
          <w:tcPr>
            <w:tcW w:w="2953" w:type="dxa"/>
            <w:vAlign w:val="center"/>
          </w:tcPr>
          <w:p w14:paraId="17BF1005" w14:textId="06130FAE" w:rsidR="00A745B9" w:rsidRPr="00A745B9" w:rsidRDefault="00A745B9" w:rsidP="00A745B9">
            <w:pPr>
              <w:pStyle w:val="NormalTableau"/>
              <w:jc w:val="left"/>
            </w:pPr>
            <w:r w:rsidRPr="00A745B9">
              <w:t>Hauteur min.</w:t>
            </w:r>
            <w:r>
              <w:t xml:space="preserve"> </w:t>
            </w:r>
            <w:r w:rsidRPr="00A745B9">
              <w:t>à la corniche</w:t>
            </w:r>
          </w:p>
        </w:tc>
        <w:tc>
          <w:tcPr>
            <w:tcW w:w="874" w:type="dxa"/>
            <w:vAlign w:val="center"/>
          </w:tcPr>
          <w:p w14:paraId="17D65E32" w14:textId="01501371" w:rsidR="00A745B9" w:rsidRPr="00A745B9" w:rsidRDefault="00A745B9" w:rsidP="00A745B9">
            <w:pPr>
              <w:pStyle w:val="NormalTableau"/>
              <w:jc w:val="center"/>
            </w:pPr>
            <w:r w:rsidRPr="00A745B9">
              <w:t>/</w:t>
            </w:r>
          </w:p>
        </w:tc>
      </w:tr>
      <w:tr w:rsidR="00A745B9" w:rsidRPr="00A745B9" w14:paraId="2DC27166" w14:textId="77777777" w:rsidTr="00A745B9">
        <w:tc>
          <w:tcPr>
            <w:tcW w:w="2953" w:type="dxa"/>
            <w:vAlign w:val="center"/>
          </w:tcPr>
          <w:p w14:paraId="0D714083" w14:textId="42F577BD" w:rsidR="00A745B9" w:rsidRPr="00A745B9" w:rsidRDefault="00A745B9" w:rsidP="00A745B9">
            <w:pPr>
              <w:pStyle w:val="NormalTableau"/>
              <w:jc w:val="left"/>
            </w:pPr>
            <w:r w:rsidRPr="00A745B9">
              <w:t>Hauteur max.</w:t>
            </w:r>
            <w:r>
              <w:t xml:space="preserve"> </w:t>
            </w:r>
            <w:r w:rsidRPr="00A745B9">
              <w:t>à la corniche</w:t>
            </w:r>
          </w:p>
        </w:tc>
        <w:tc>
          <w:tcPr>
            <w:tcW w:w="874" w:type="dxa"/>
            <w:vAlign w:val="center"/>
          </w:tcPr>
          <w:p w14:paraId="4CC49CDC" w14:textId="780693DD" w:rsidR="00A745B9" w:rsidRPr="00A745B9" w:rsidRDefault="00A745B9" w:rsidP="00A745B9">
            <w:pPr>
              <w:pStyle w:val="NormalTableau"/>
              <w:jc w:val="center"/>
            </w:pPr>
            <w:r w:rsidRPr="00A745B9">
              <w:t>/</w:t>
            </w:r>
          </w:p>
        </w:tc>
      </w:tr>
      <w:tr w:rsidR="00A745B9" w:rsidRPr="00A745B9" w14:paraId="58C356F3" w14:textId="77777777" w:rsidTr="00A745B9">
        <w:tc>
          <w:tcPr>
            <w:tcW w:w="2953" w:type="dxa"/>
            <w:vAlign w:val="center"/>
          </w:tcPr>
          <w:p w14:paraId="178528DA" w14:textId="2818E35C" w:rsidR="00A745B9" w:rsidRPr="00A745B9" w:rsidRDefault="00A745B9" w:rsidP="00A745B9">
            <w:pPr>
              <w:pStyle w:val="NormalTableau"/>
              <w:jc w:val="left"/>
            </w:pPr>
            <w:r w:rsidRPr="00A745B9">
              <w:t>Hauteur max.</w:t>
            </w:r>
            <w:r>
              <w:t xml:space="preserve"> </w:t>
            </w:r>
            <w:r w:rsidRPr="00A745B9">
              <w:t>au faitage</w:t>
            </w:r>
          </w:p>
        </w:tc>
        <w:tc>
          <w:tcPr>
            <w:tcW w:w="874" w:type="dxa"/>
            <w:vAlign w:val="center"/>
          </w:tcPr>
          <w:p w14:paraId="6A7D0205" w14:textId="1D619576" w:rsidR="00A745B9" w:rsidRPr="00A745B9" w:rsidRDefault="00A745B9" w:rsidP="00A745B9">
            <w:pPr>
              <w:pStyle w:val="NormalTableau"/>
              <w:jc w:val="center"/>
            </w:pPr>
            <w:r w:rsidRPr="00A745B9">
              <w:t>13,50 m</w:t>
            </w:r>
          </w:p>
        </w:tc>
      </w:tr>
      <w:tr w:rsidR="00A745B9" w:rsidRPr="00A745B9" w14:paraId="0FEEE6CE" w14:textId="77777777" w:rsidTr="00A745B9">
        <w:tc>
          <w:tcPr>
            <w:tcW w:w="2953" w:type="dxa"/>
            <w:vAlign w:val="center"/>
          </w:tcPr>
          <w:p w14:paraId="58EBA003" w14:textId="1AC7AB2F" w:rsidR="00A745B9" w:rsidRPr="00A745B9" w:rsidRDefault="00A745B9" w:rsidP="00A745B9">
            <w:pPr>
              <w:pStyle w:val="NormalTableau"/>
              <w:jc w:val="left"/>
            </w:pPr>
            <w:r w:rsidRPr="00A745B9">
              <w:t>Nombre min.</w:t>
            </w:r>
            <w:r>
              <w:t xml:space="preserve"> </w:t>
            </w:r>
            <w:r w:rsidRPr="00A745B9">
              <w:t>de niveaux pleins</w:t>
            </w:r>
          </w:p>
        </w:tc>
        <w:tc>
          <w:tcPr>
            <w:tcW w:w="874" w:type="dxa"/>
            <w:vAlign w:val="center"/>
          </w:tcPr>
          <w:p w14:paraId="626676F8" w14:textId="43AFA237" w:rsidR="00A745B9" w:rsidRPr="00A745B9" w:rsidRDefault="00A745B9" w:rsidP="00A745B9">
            <w:pPr>
              <w:pStyle w:val="NormalTableau"/>
              <w:jc w:val="center"/>
            </w:pPr>
            <w:r w:rsidRPr="00A745B9">
              <w:t>1</w:t>
            </w:r>
          </w:p>
        </w:tc>
      </w:tr>
      <w:tr w:rsidR="00A745B9" w:rsidRPr="00A745B9" w14:paraId="08B7BA74" w14:textId="77777777" w:rsidTr="00A745B9">
        <w:tc>
          <w:tcPr>
            <w:tcW w:w="2953" w:type="dxa"/>
            <w:vAlign w:val="center"/>
          </w:tcPr>
          <w:p w14:paraId="5B193717" w14:textId="691DE6FF" w:rsidR="00A745B9" w:rsidRPr="00A745B9" w:rsidRDefault="00A745B9" w:rsidP="00A745B9">
            <w:pPr>
              <w:pStyle w:val="NormalTableau"/>
              <w:jc w:val="left"/>
            </w:pPr>
            <w:r w:rsidRPr="00A745B9">
              <w:t>Nombre max.</w:t>
            </w:r>
            <w:r>
              <w:t xml:space="preserve"> </w:t>
            </w:r>
            <w:r w:rsidRPr="00A745B9">
              <w:t>de niveaux pleins</w:t>
            </w:r>
          </w:p>
        </w:tc>
        <w:tc>
          <w:tcPr>
            <w:tcW w:w="874" w:type="dxa"/>
            <w:vAlign w:val="center"/>
          </w:tcPr>
          <w:p w14:paraId="7163476B" w14:textId="43EEE35C" w:rsidR="00A745B9" w:rsidRPr="00A745B9" w:rsidRDefault="00A745B9" w:rsidP="00A745B9">
            <w:pPr>
              <w:pStyle w:val="NormalTableau"/>
              <w:jc w:val="center"/>
            </w:pPr>
            <w:r w:rsidRPr="00A745B9">
              <w:t>4</w:t>
            </w:r>
          </w:p>
        </w:tc>
      </w:tr>
      <w:tr w:rsidR="00A745B9" w:rsidRPr="00A745B9" w14:paraId="556F7C84" w14:textId="77777777" w:rsidTr="00A745B9">
        <w:tc>
          <w:tcPr>
            <w:tcW w:w="2953" w:type="dxa"/>
            <w:vAlign w:val="center"/>
          </w:tcPr>
          <w:p w14:paraId="0B789AE2" w14:textId="1D85D17B" w:rsidR="00A745B9" w:rsidRPr="00A745B9" w:rsidRDefault="00A745B9" w:rsidP="00A745B9">
            <w:pPr>
              <w:pStyle w:val="NormalTableau"/>
              <w:jc w:val="left"/>
            </w:pPr>
            <w:r w:rsidRPr="00A745B9">
              <w:t>Nombre max.</w:t>
            </w:r>
            <w:r>
              <w:t xml:space="preserve"> </w:t>
            </w:r>
            <w:r w:rsidRPr="00A745B9">
              <w:t>de niveaux</w:t>
            </w:r>
            <w:r>
              <w:t xml:space="preserve"> </w:t>
            </w:r>
            <w:r w:rsidRPr="00A745B9">
              <w:t>souterrains</w:t>
            </w:r>
          </w:p>
        </w:tc>
        <w:tc>
          <w:tcPr>
            <w:tcW w:w="874" w:type="dxa"/>
            <w:vAlign w:val="center"/>
          </w:tcPr>
          <w:p w14:paraId="2CDA800F" w14:textId="3E950FEC" w:rsidR="00A745B9" w:rsidRPr="00A745B9" w:rsidRDefault="00A745B9" w:rsidP="00A745B9">
            <w:pPr>
              <w:pStyle w:val="NormalTableau"/>
              <w:jc w:val="center"/>
            </w:pPr>
            <w:r w:rsidRPr="00A745B9">
              <w:t>2</w:t>
            </w:r>
          </w:p>
        </w:tc>
      </w:tr>
    </w:tbl>
    <w:p w14:paraId="6059A5B9" w14:textId="54E87996" w:rsidR="00A745B9" w:rsidRDefault="00A745B9" w:rsidP="00A745B9"/>
    <w:p w14:paraId="4558F492" w14:textId="66AD30AC" w:rsidR="00A745B9" w:rsidRDefault="00A745B9" w:rsidP="00A745B9">
      <w:r>
        <w:t>En cas d’équipements techniques d’utilité publique nécessitant des hauteurs plus élevées, tels les</w:t>
      </w:r>
      <w:r>
        <w:t xml:space="preserve"> </w:t>
      </w:r>
      <w:r>
        <w:t>tours d’églises, les antennes, les châteaux d’eaux ou autres, la hauteur maximale au faîtage autorisée</w:t>
      </w:r>
      <w:r>
        <w:t xml:space="preserve"> </w:t>
      </w:r>
      <w:r>
        <w:t>peut-être adaptée à l’installation en question.</w:t>
      </w:r>
    </w:p>
    <w:p w14:paraId="758D5996" w14:textId="46F6CB58" w:rsidR="00A745B9" w:rsidRDefault="00A745B9" w:rsidP="00A745B9">
      <w:r>
        <w:t xml:space="preserve">La hauteur est à mesurer à partir de l’axe de la voie </w:t>
      </w:r>
      <w:proofErr w:type="spellStart"/>
      <w:r>
        <w:t>desservante</w:t>
      </w:r>
      <w:proofErr w:type="spellEnd"/>
      <w:r>
        <w:t xml:space="preserve"> ou par rapport au terrain naturel.</w:t>
      </w:r>
    </w:p>
    <w:p w14:paraId="3017B820" w14:textId="77777777" w:rsidR="00A745B9" w:rsidRDefault="00A745B9" w:rsidP="00A745B9">
      <w:pPr>
        <w:pStyle w:val="Heading1"/>
      </w:pPr>
      <w:r>
        <w:t>Art. 22 Largeur et profondeur des constructions hors-sol et sous-sol</w:t>
      </w:r>
    </w:p>
    <w:p w14:paraId="10BDB71F" w14:textId="452E371F" w:rsidR="00A745B9" w:rsidRDefault="00A745B9" w:rsidP="00A745B9">
      <w:r>
        <w:t>Les prescriptions dimensionnelles relatives à la largeur et la profondeur des constructions seront</w:t>
      </w:r>
      <w:r>
        <w:t xml:space="preserve"> </w:t>
      </w:r>
      <w:r>
        <w:t>déterminées par les autorités communales selon les exigences de l’utilisation envisagée et en rapport</w:t>
      </w:r>
      <w:r>
        <w:t xml:space="preserve"> </w:t>
      </w:r>
      <w:r>
        <w:t>avec la configuration du terrain.</w:t>
      </w:r>
    </w:p>
    <w:p w14:paraId="5926DE00" w14:textId="77777777" w:rsidR="00A745B9" w:rsidRDefault="00A745B9" w:rsidP="00A745B9">
      <w:pPr>
        <w:pStyle w:val="Heading1"/>
      </w:pPr>
      <w:r>
        <w:t>Art. 23 Reculs et distances</w:t>
      </w:r>
    </w:p>
    <w:p w14:paraId="0DF8F213" w14:textId="16EAD77A" w:rsidR="00A745B9" w:rsidRDefault="00A745B9" w:rsidP="00A745B9">
      <w:r>
        <w:t>Les reculs entre les constructions et les limites séparatives de terrains seront déterminés par les</w:t>
      </w:r>
      <w:r>
        <w:t xml:space="preserve"> </w:t>
      </w:r>
      <w:r>
        <w:t>autorités communales selon les exigences de l’utilisation envisagée et en rapport avec la configuration</w:t>
      </w:r>
      <w:r>
        <w:t xml:space="preserve"> </w:t>
      </w:r>
      <w:r>
        <w:t>du terrain.</w:t>
      </w:r>
    </w:p>
    <w:p w14:paraId="04E3D028" w14:textId="48F19AA3" w:rsidR="00A745B9" w:rsidRPr="007D461A" w:rsidRDefault="00A745B9" w:rsidP="00A745B9">
      <w:r>
        <w:lastRenderedPageBreak/>
        <w:t>Ils ne pourront néanmoins être inférieurs à 3 mètres pour les reculs latéraux et arrière. Ils devront se</w:t>
      </w:r>
      <w:r>
        <w:t xml:space="preserve"> </w:t>
      </w:r>
      <w:r>
        <w:t>conformer au plan d’alignement des constructions voisines ou respecter un recul minimum de</w:t>
      </w:r>
      <w:r>
        <w:t xml:space="preserve"> </w:t>
      </w:r>
      <w:r>
        <w:t>5 mètres pour la façade donnant sur la voie publique. Les marges de reculement ne peuvent pas être</w:t>
      </w:r>
      <w:r>
        <w:t xml:space="preserve"> </w:t>
      </w:r>
      <w:bookmarkStart w:id="0" w:name="_GoBack"/>
      <w:bookmarkEnd w:id="0"/>
      <w:r>
        <w:t>utilisées comme dépôts de matériaux ou comme places de stationnement.</w:t>
      </w:r>
    </w:p>
    <w:sectPr w:rsidR="00A745B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45B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A74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2022-09-06T06:48:00Z</dcterms:modified>
</cp:coreProperties>
</file>