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7FAAA8AC" w:rsidR="006605E2" w:rsidRDefault="002871CC" w:rsidP="002871CC">
      <w:pPr>
        <w:pStyle w:val="Title"/>
      </w:pPr>
      <w:r>
        <w:t>Les règles applicables à toutes les zones d’habitation [HAB] et à</w:t>
      </w:r>
      <w:r>
        <w:t xml:space="preserve"> </w:t>
      </w:r>
      <w:r>
        <w:t>toutes les zones mixtes [MIX]</w:t>
      </w:r>
    </w:p>
    <w:p w14:paraId="20F686AA" w14:textId="77777777" w:rsidR="002871CC" w:rsidRDefault="002871CC" w:rsidP="002871CC">
      <w:pPr>
        <w:pStyle w:val="Heading1"/>
      </w:pPr>
      <w:r>
        <w:t>Art. 6 Indications sur la partie graphique</w:t>
      </w:r>
    </w:p>
    <w:p w14:paraId="3015A4A9" w14:textId="6054ECDA" w:rsidR="002871CC" w:rsidRDefault="002871CC" w:rsidP="002871CC">
      <w:r>
        <w:t>Les zones d’habitations et les zones mixtes sont divisées en parties de zone selon le nombre de</w:t>
      </w:r>
      <w:r>
        <w:t xml:space="preserve"> </w:t>
      </w:r>
      <w:r>
        <w:t>niveaux et le nombre de logements permis par bâtiment. Dans la partie graphique du PAP-QE les</w:t>
      </w:r>
      <w:r>
        <w:t xml:space="preserve"> </w:t>
      </w:r>
      <w:r>
        <w:t>différentes zones et parties de zone sont délimitées et marquées par des vignettes, indiquant la zone,</w:t>
      </w:r>
      <w:r>
        <w:t xml:space="preserve"> </w:t>
      </w:r>
      <w:r>
        <w:t>le nombre de niveaux et le nombre de</w:t>
      </w:r>
      <w:r>
        <w:t xml:space="preserve"> logements relatifs, comme suit</w:t>
      </w:r>
      <w:r>
        <w:t>:</w:t>
      </w:r>
    </w:p>
    <w:p w14:paraId="495AAC07" w14:textId="77777777" w:rsidR="002871CC" w:rsidRDefault="002871CC" w:rsidP="002871CC">
      <w:pPr>
        <w:ind w:left="720"/>
      </w:pPr>
      <w:r>
        <w:t>I, II, III = Nombre maximum de niveaux pleins</w:t>
      </w:r>
    </w:p>
    <w:p w14:paraId="36867112" w14:textId="77777777" w:rsidR="002871CC" w:rsidRDefault="002871CC" w:rsidP="002871CC">
      <w:pPr>
        <w:ind w:left="720"/>
      </w:pPr>
      <w:r>
        <w:t>1L, 2L, … x L= Nombre maximum de logements par bâtiment.</w:t>
      </w:r>
    </w:p>
    <w:p w14:paraId="7604F307" w14:textId="7D447488" w:rsidR="002871CC" w:rsidRDefault="002871CC" w:rsidP="002871CC">
      <w:r>
        <w:t>Au niveau des constructions principales de type unifamilial, la réalisation d’un logement intégré est</w:t>
      </w:r>
      <w:r>
        <w:t xml:space="preserve"> </w:t>
      </w:r>
      <w:r>
        <w:t xml:space="preserve">autorisée. </w:t>
      </w:r>
      <w:r>
        <w:t>« </w:t>
      </w:r>
      <w:r>
        <w:t>On entend par logement intégré un logement faisant partie d’une maison de type</w:t>
      </w:r>
      <w:r>
        <w:t xml:space="preserve"> </w:t>
      </w:r>
      <w:r>
        <w:t>unifamilial et appartenant au propriétaire du logement principal. Le logement ne peut être destiné qu’à</w:t>
      </w:r>
      <w:r>
        <w:t xml:space="preserve"> </w:t>
      </w:r>
      <w:r>
        <w:t>la location et doit être subordonné en surface au logement principal.</w:t>
      </w:r>
      <w:r>
        <w:t> »</w:t>
      </w:r>
    </w:p>
    <w:p w14:paraId="12A1F984" w14:textId="2F4EF53D" w:rsidR="002871CC" w:rsidRDefault="002871CC" w:rsidP="002871CC">
      <w:r>
        <w:t xml:space="preserve">Les </w:t>
      </w:r>
      <w:r>
        <w:t>« </w:t>
      </w:r>
      <w:r>
        <w:t>bâtiments et gabarits à conserver</w:t>
      </w:r>
      <w:r>
        <w:t> »</w:t>
      </w:r>
      <w:r>
        <w:t>, ainsi que les anciennes granges, peuvent être reconvertis</w:t>
      </w:r>
      <w:r>
        <w:t xml:space="preserve"> </w:t>
      </w:r>
      <w:r>
        <w:t>pour recevoir des nouvelles affectations, telles que crèches, activités artisanales, activités de</w:t>
      </w:r>
      <w:r>
        <w:t xml:space="preserve"> </w:t>
      </w:r>
      <w:r>
        <w:t>commerces ou autres, pour autant qu’elles soient compatibles avec la zone concernée. Pour les</w:t>
      </w:r>
      <w:r>
        <w:t xml:space="preserve"> </w:t>
      </w:r>
      <w:r>
        <w:t xml:space="preserve">projets de reconversion en logements des </w:t>
      </w:r>
      <w:r>
        <w:t>« </w:t>
      </w:r>
      <w:r>
        <w:t>bâtiments et gabarits à conserver</w:t>
      </w:r>
      <w:r>
        <w:t> »</w:t>
      </w:r>
      <w:r>
        <w:t xml:space="preserve"> et des anciennes</w:t>
      </w:r>
      <w:r>
        <w:t xml:space="preserve"> </w:t>
      </w:r>
      <w:r>
        <w:t>granges, un nombre supérieur de logements à celui indiqué par la partie graphique du PAP-QE peut</w:t>
      </w:r>
      <w:r>
        <w:t xml:space="preserve"> </w:t>
      </w:r>
      <w:r>
        <w:t>être autorisé sans néanmoins dépasser 10 logements par bâtiment. La taille minimale d’un logement</w:t>
      </w:r>
      <w:r>
        <w:t xml:space="preserve"> </w:t>
      </w:r>
      <w:r>
        <w:t>sera alors de 50 mètres-carrés.</w:t>
      </w:r>
    </w:p>
    <w:p w14:paraId="6AEDF55F" w14:textId="77777777" w:rsidR="002871CC" w:rsidRDefault="002871CC" w:rsidP="002871CC">
      <w:pPr>
        <w:pStyle w:val="Heading1"/>
      </w:pPr>
      <w:r>
        <w:t>Art. 7 Types et disposition des constructions principales</w:t>
      </w:r>
    </w:p>
    <w:p w14:paraId="7CFF8B21" w14:textId="2C13F7A1" w:rsidR="002871CC" w:rsidRDefault="002871CC" w:rsidP="00FA06DA">
      <w:pPr>
        <w:pStyle w:val="ListParagraph"/>
        <w:numPr>
          <w:ilvl w:val="0"/>
          <w:numId w:val="8"/>
        </w:numPr>
      </w:pPr>
      <w:r>
        <w:t>La zone HAB-1 est principalement destinée aux maisons d’habitations unifamiliales et</w:t>
      </w:r>
      <w:r>
        <w:t xml:space="preserve"> </w:t>
      </w:r>
      <w:r>
        <w:t>localement aux maisons d’habitations bi-familiales et plurifamiliales. Sont admis les</w:t>
      </w:r>
      <w:r>
        <w:t xml:space="preserve"> </w:t>
      </w:r>
      <w:r>
        <w:t>bâtiments non-destinés au logement et les dépendances.</w:t>
      </w:r>
    </w:p>
    <w:p w14:paraId="1B5B527C" w14:textId="12E374C6" w:rsidR="002871CC" w:rsidRDefault="002871CC" w:rsidP="002871CC">
      <w:pPr>
        <w:ind w:left="720"/>
      </w:pPr>
      <w:r>
        <w:t>Les maisons plurifamiliales doivent être implantées de manière isolée ou jumelée et s’insérer</w:t>
      </w:r>
      <w:r>
        <w:t xml:space="preserve"> </w:t>
      </w:r>
      <w:r>
        <w:t>de manière satisfaisante au niveau de l’environnement construit.</w:t>
      </w:r>
    </w:p>
    <w:p w14:paraId="08E5B11A" w14:textId="26265D87" w:rsidR="002871CC" w:rsidRDefault="002871CC" w:rsidP="007451B1">
      <w:pPr>
        <w:pStyle w:val="ListParagraph"/>
        <w:numPr>
          <w:ilvl w:val="0"/>
          <w:numId w:val="8"/>
        </w:numPr>
      </w:pPr>
      <w:r>
        <w:t xml:space="preserve">La zone </w:t>
      </w:r>
      <w:proofErr w:type="spellStart"/>
      <w:r>
        <w:t>MIX-v</w:t>
      </w:r>
      <w:proofErr w:type="spellEnd"/>
      <w:r>
        <w:t xml:space="preserve"> est prioritairement destinée aux maisons plurifamiliales, aux activités</w:t>
      </w:r>
      <w:r>
        <w:t xml:space="preserve"> </w:t>
      </w:r>
      <w:r>
        <w:t>artisanales, de commerce, de loisirs, des services administratifs ou professionnels, des</w:t>
      </w:r>
      <w:r>
        <w:t xml:space="preserve"> </w:t>
      </w:r>
      <w:r>
        <w:t>restaurants et des débits à boissons, des équipements de service public, ainsi que des</w:t>
      </w:r>
      <w:r>
        <w:t xml:space="preserve"> </w:t>
      </w:r>
      <w:r>
        <w:t>activités de récréation. L’implantation de maisons unifamiliales et bi-familiales isolées,</w:t>
      </w:r>
      <w:r>
        <w:t xml:space="preserve"> </w:t>
      </w:r>
      <w:r>
        <w:t>jumelées ou groupées en bande peut être autorisée à condition qu’elles s’insèrent de</w:t>
      </w:r>
      <w:r>
        <w:t xml:space="preserve"> </w:t>
      </w:r>
      <w:r>
        <w:t>manière satisfaisante au niveau de l’environnement construit.</w:t>
      </w:r>
    </w:p>
    <w:p w14:paraId="53DA4B63" w14:textId="5E27916A" w:rsidR="002871CC" w:rsidRDefault="002871CC" w:rsidP="0092386C">
      <w:pPr>
        <w:pStyle w:val="ListParagraph"/>
        <w:numPr>
          <w:ilvl w:val="0"/>
          <w:numId w:val="8"/>
        </w:numPr>
      </w:pPr>
      <w:r>
        <w:lastRenderedPageBreak/>
        <w:t xml:space="preserve">La zone </w:t>
      </w:r>
      <w:proofErr w:type="spellStart"/>
      <w:r>
        <w:t>MIX-r</w:t>
      </w:r>
      <w:proofErr w:type="spellEnd"/>
      <w:r>
        <w:t xml:space="preserve"> est destinée aux exploitations agricoles, jardinières, maraîchères, viticoles,</w:t>
      </w:r>
      <w:r>
        <w:t xml:space="preserve"> </w:t>
      </w:r>
      <w:r>
        <w:t>piscicoles, apicoles ainsi qu’aux centres équestres. Toute nouvelle construction principale</w:t>
      </w:r>
      <w:r>
        <w:t xml:space="preserve"> </w:t>
      </w:r>
      <w:r>
        <w:t>doit s’insérer dans l’ensemble bâti existant de l’exploitation, de par son langage architectural</w:t>
      </w:r>
      <w:r>
        <w:t xml:space="preserve"> </w:t>
      </w:r>
      <w:r>
        <w:t>et son gabarit.</w:t>
      </w:r>
    </w:p>
    <w:p w14:paraId="6C80BCC6" w14:textId="3E0A416C" w:rsidR="002871CC" w:rsidRDefault="002871CC" w:rsidP="002871CC">
      <w:pPr>
        <w:ind w:left="720"/>
      </w:pPr>
      <w:r>
        <w:t>Au niveau de la zone mixte rurale sont autorisées les habitations de type unifamilial et des</w:t>
      </w:r>
      <w:r>
        <w:t xml:space="preserve"> </w:t>
      </w:r>
      <w:r>
        <w:t>constructions principales abritant des activités de commerce, artisanales, de loisirs et</w:t>
      </w:r>
      <w:r>
        <w:t xml:space="preserve"> </w:t>
      </w:r>
      <w:r>
        <w:t>culturelles qui sont en relation directe avec la destination principale de la zone. Toute</w:t>
      </w:r>
      <w:r>
        <w:t xml:space="preserve"> </w:t>
      </w:r>
      <w:r>
        <w:t>nouvelle construction principale doit s’insérer de manière satisfaisante au niveau de</w:t>
      </w:r>
      <w:r>
        <w:t xml:space="preserve"> </w:t>
      </w:r>
      <w:r>
        <w:t>l’environnement construit, du site et du paysage. L’implantation en ordre contigu peut être</w:t>
      </w:r>
      <w:r>
        <w:t xml:space="preserve"> </w:t>
      </w:r>
      <w:r>
        <w:t>autorisée pour autant que le bon fonctionnement de l’entreprise agricole concernée l’exige</w:t>
      </w:r>
      <w:r>
        <w:t xml:space="preserve"> </w:t>
      </w:r>
      <w:r>
        <w:t>et que l’accès pour les services de secours soit garanti.</w:t>
      </w:r>
    </w:p>
    <w:p w14:paraId="21D6E58D" w14:textId="77777777" w:rsidR="002871CC" w:rsidRDefault="002871CC" w:rsidP="002871CC">
      <w:pPr>
        <w:pStyle w:val="Heading1"/>
      </w:pPr>
      <w:r>
        <w:t>Art. 8 Hauteurs et nombre de niveaux des constructions principales</w:t>
      </w:r>
    </w:p>
    <w:p w14:paraId="0D63FC7A" w14:textId="24BFE5C6" w:rsidR="002871CC" w:rsidRDefault="002871CC" w:rsidP="002871CC">
      <w:pPr>
        <w:pStyle w:val="ListParagraph"/>
        <w:numPr>
          <w:ilvl w:val="0"/>
          <w:numId w:val="10"/>
        </w:numPr>
      </w:pPr>
      <w:r>
        <w:t>Hauteurs et nombre de niveaux des constructions principales pour les zones d´habitations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71"/>
        <w:gridCol w:w="1169"/>
        <w:gridCol w:w="1276"/>
        <w:gridCol w:w="1276"/>
        <w:gridCol w:w="1134"/>
      </w:tblGrid>
      <w:tr w:rsidR="002871CC" w14:paraId="5F4EAA33" w14:textId="77777777" w:rsidTr="002871CC">
        <w:trPr>
          <w:trHeight w:val="283"/>
          <w:jc w:val="center"/>
        </w:trPr>
        <w:tc>
          <w:tcPr>
            <w:tcW w:w="1671" w:type="dxa"/>
            <w:shd w:val="clear" w:color="auto" w:fill="BFBFBF" w:themeFill="background1" w:themeFillShade="BF"/>
            <w:vAlign w:val="center"/>
          </w:tcPr>
          <w:p w14:paraId="5B6F4CBE" w14:textId="77777777" w:rsidR="002871CC" w:rsidRPr="002871CC" w:rsidRDefault="002871CC" w:rsidP="002871CC">
            <w:pPr>
              <w:pStyle w:val="NormalTableau"/>
              <w:jc w:val="left"/>
              <w:rPr>
                <w:b/>
                <w:u w:val="single"/>
              </w:rPr>
            </w:pPr>
          </w:p>
        </w:tc>
        <w:tc>
          <w:tcPr>
            <w:tcW w:w="1169" w:type="dxa"/>
            <w:shd w:val="clear" w:color="auto" w:fill="BFBFBF" w:themeFill="background1" w:themeFillShade="BF"/>
            <w:vAlign w:val="center"/>
          </w:tcPr>
          <w:p w14:paraId="57DFF2E8" w14:textId="77777777" w:rsidR="002871CC" w:rsidRPr="002871CC" w:rsidRDefault="002871CC" w:rsidP="002871CC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5769EF9" w14:textId="2ADA4ACD" w:rsidR="002871CC" w:rsidRPr="002871CC" w:rsidRDefault="002871CC" w:rsidP="002871CC">
            <w:pPr>
              <w:pStyle w:val="NormalTableau"/>
              <w:jc w:val="center"/>
              <w:rPr>
                <w:b/>
                <w:u w:val="single"/>
              </w:rPr>
            </w:pPr>
            <w:r w:rsidRPr="002871CC">
              <w:rPr>
                <w:b/>
                <w:u w:val="single"/>
              </w:rPr>
              <w:t>HAB-1 II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2BD977D" w14:textId="40E814DD" w:rsidR="002871CC" w:rsidRPr="002871CC" w:rsidRDefault="002871CC" w:rsidP="002871CC">
            <w:pPr>
              <w:pStyle w:val="NormalTableau"/>
              <w:jc w:val="center"/>
              <w:rPr>
                <w:b/>
                <w:u w:val="single"/>
              </w:rPr>
            </w:pPr>
            <w:r w:rsidRPr="002871CC">
              <w:rPr>
                <w:b/>
                <w:u w:val="single"/>
              </w:rPr>
              <w:t>HAB-1 III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E6978DD" w14:textId="77777777" w:rsidR="002871CC" w:rsidRPr="002871CC" w:rsidRDefault="002871CC" w:rsidP="002871CC">
            <w:pPr>
              <w:pStyle w:val="NormalTableau"/>
              <w:jc w:val="center"/>
              <w:rPr>
                <w:b/>
                <w:u w:val="single"/>
              </w:rPr>
            </w:pPr>
          </w:p>
        </w:tc>
      </w:tr>
      <w:tr w:rsidR="002871CC" w14:paraId="48D49407" w14:textId="77777777" w:rsidTr="002871CC">
        <w:trPr>
          <w:jc w:val="center"/>
        </w:trPr>
        <w:tc>
          <w:tcPr>
            <w:tcW w:w="1671" w:type="dxa"/>
            <w:vAlign w:val="center"/>
          </w:tcPr>
          <w:p w14:paraId="67E4405D" w14:textId="508AC4D9" w:rsidR="002871CC" w:rsidRDefault="002871CC" w:rsidP="002871CC">
            <w:pPr>
              <w:pStyle w:val="NormalTableau"/>
              <w:jc w:val="left"/>
            </w:pPr>
            <w:r>
              <w:t>Hauteur min.</w:t>
            </w:r>
            <w:r>
              <w:t xml:space="preserve"> </w:t>
            </w:r>
            <w:r>
              <w:t>à la corniche</w:t>
            </w:r>
          </w:p>
        </w:tc>
        <w:tc>
          <w:tcPr>
            <w:tcW w:w="1169" w:type="dxa"/>
            <w:vAlign w:val="center"/>
          </w:tcPr>
          <w:p w14:paraId="3A8627D2" w14:textId="77777777" w:rsidR="002871CC" w:rsidRDefault="002871CC" w:rsidP="002871CC">
            <w:pPr>
              <w:pStyle w:val="NormalTableau"/>
              <w:jc w:val="center"/>
            </w:pPr>
          </w:p>
        </w:tc>
        <w:tc>
          <w:tcPr>
            <w:tcW w:w="1276" w:type="dxa"/>
            <w:vAlign w:val="center"/>
          </w:tcPr>
          <w:p w14:paraId="47B27CAE" w14:textId="61DA26B9" w:rsidR="002871CC" w:rsidRDefault="002871CC" w:rsidP="002871CC">
            <w:pPr>
              <w:pStyle w:val="NormalTableau"/>
              <w:jc w:val="center"/>
            </w:pPr>
            <w:r>
              <w:rPr>
                <w:rFonts w:cs="Arial"/>
                <w:sz w:val="21"/>
                <w:szCs w:val="21"/>
              </w:rPr>
              <w:t>/</w:t>
            </w:r>
          </w:p>
        </w:tc>
        <w:tc>
          <w:tcPr>
            <w:tcW w:w="1276" w:type="dxa"/>
            <w:vAlign w:val="center"/>
          </w:tcPr>
          <w:p w14:paraId="2565ED70" w14:textId="40B50B20" w:rsidR="002871CC" w:rsidRDefault="002871CC" w:rsidP="002871CC">
            <w:pPr>
              <w:pStyle w:val="NormalTableau"/>
              <w:jc w:val="center"/>
            </w:pPr>
            <w:r w:rsidRPr="002871CC">
              <w:t>6,50m</w:t>
            </w:r>
          </w:p>
        </w:tc>
        <w:tc>
          <w:tcPr>
            <w:tcW w:w="1134" w:type="dxa"/>
            <w:vAlign w:val="center"/>
          </w:tcPr>
          <w:p w14:paraId="5252AD70" w14:textId="77777777" w:rsidR="002871CC" w:rsidRDefault="002871CC" w:rsidP="002871CC">
            <w:pPr>
              <w:pStyle w:val="NormalTableau"/>
              <w:jc w:val="center"/>
            </w:pPr>
          </w:p>
        </w:tc>
      </w:tr>
      <w:tr w:rsidR="002871CC" w14:paraId="65953AEF" w14:textId="77777777" w:rsidTr="002871CC">
        <w:trPr>
          <w:jc w:val="center"/>
        </w:trPr>
        <w:tc>
          <w:tcPr>
            <w:tcW w:w="1671" w:type="dxa"/>
            <w:vAlign w:val="center"/>
          </w:tcPr>
          <w:p w14:paraId="1E3FB16D" w14:textId="23A2121F" w:rsidR="002871CC" w:rsidRDefault="002871CC" w:rsidP="002871CC">
            <w:pPr>
              <w:pStyle w:val="NormalTableau"/>
              <w:jc w:val="left"/>
            </w:pPr>
            <w:r>
              <w:t>Hauteur max.</w:t>
            </w:r>
            <w:r>
              <w:t xml:space="preserve"> </w:t>
            </w:r>
            <w:r>
              <w:t>à la corniche</w:t>
            </w:r>
          </w:p>
        </w:tc>
        <w:tc>
          <w:tcPr>
            <w:tcW w:w="1169" w:type="dxa"/>
            <w:vAlign w:val="center"/>
          </w:tcPr>
          <w:p w14:paraId="0C86771F" w14:textId="77777777" w:rsidR="002871CC" w:rsidRDefault="002871CC" w:rsidP="002871CC">
            <w:pPr>
              <w:pStyle w:val="NormalTableau"/>
              <w:jc w:val="center"/>
            </w:pPr>
          </w:p>
        </w:tc>
        <w:tc>
          <w:tcPr>
            <w:tcW w:w="1276" w:type="dxa"/>
            <w:vAlign w:val="center"/>
          </w:tcPr>
          <w:p w14:paraId="1D948F8B" w14:textId="5DD8540B" w:rsidR="002871CC" w:rsidRDefault="002871CC" w:rsidP="002871CC">
            <w:pPr>
              <w:pStyle w:val="NormalTableau"/>
              <w:jc w:val="center"/>
            </w:pPr>
            <w:r w:rsidRPr="002871CC">
              <w:t>6,50m</w:t>
            </w:r>
          </w:p>
        </w:tc>
        <w:tc>
          <w:tcPr>
            <w:tcW w:w="1276" w:type="dxa"/>
            <w:vAlign w:val="center"/>
          </w:tcPr>
          <w:p w14:paraId="67539292" w14:textId="54E1A962" w:rsidR="002871CC" w:rsidRDefault="002871CC" w:rsidP="002871CC">
            <w:pPr>
              <w:pStyle w:val="NormalTableau"/>
              <w:jc w:val="center"/>
            </w:pPr>
            <w:r>
              <w:t>8</w:t>
            </w:r>
            <w:r w:rsidRPr="002871CC">
              <w:t>,50m</w:t>
            </w:r>
          </w:p>
        </w:tc>
        <w:tc>
          <w:tcPr>
            <w:tcW w:w="1134" w:type="dxa"/>
            <w:vAlign w:val="center"/>
          </w:tcPr>
          <w:p w14:paraId="0C2AEB65" w14:textId="77777777" w:rsidR="002871CC" w:rsidRDefault="002871CC" w:rsidP="002871CC">
            <w:pPr>
              <w:pStyle w:val="NormalTableau"/>
              <w:jc w:val="center"/>
            </w:pPr>
          </w:p>
        </w:tc>
      </w:tr>
      <w:tr w:rsidR="002871CC" w14:paraId="29735F3B" w14:textId="77777777" w:rsidTr="002871CC">
        <w:trPr>
          <w:jc w:val="center"/>
        </w:trPr>
        <w:tc>
          <w:tcPr>
            <w:tcW w:w="1671" w:type="dxa"/>
            <w:vAlign w:val="center"/>
          </w:tcPr>
          <w:p w14:paraId="2902DA56" w14:textId="16ED11D9" w:rsidR="002871CC" w:rsidRDefault="002871CC" w:rsidP="002871CC">
            <w:pPr>
              <w:pStyle w:val="NormalTableau"/>
              <w:jc w:val="left"/>
            </w:pPr>
            <w:r>
              <w:t>Hauteur max.</w:t>
            </w:r>
            <w:r>
              <w:t xml:space="preserve"> </w:t>
            </w:r>
            <w:r>
              <w:t>au faitage</w:t>
            </w:r>
          </w:p>
        </w:tc>
        <w:tc>
          <w:tcPr>
            <w:tcW w:w="1169" w:type="dxa"/>
            <w:vAlign w:val="center"/>
          </w:tcPr>
          <w:p w14:paraId="6D7EE437" w14:textId="77777777" w:rsidR="002871CC" w:rsidRDefault="002871CC" w:rsidP="002871CC">
            <w:pPr>
              <w:pStyle w:val="NormalTableau"/>
              <w:jc w:val="center"/>
            </w:pPr>
          </w:p>
        </w:tc>
        <w:tc>
          <w:tcPr>
            <w:tcW w:w="1276" w:type="dxa"/>
            <w:vAlign w:val="center"/>
          </w:tcPr>
          <w:p w14:paraId="3805FD0E" w14:textId="1675BE53" w:rsidR="002871CC" w:rsidRDefault="002871CC" w:rsidP="002871CC">
            <w:pPr>
              <w:pStyle w:val="NormalTableau"/>
              <w:jc w:val="center"/>
            </w:pPr>
            <w:r>
              <w:t>10</w:t>
            </w:r>
            <w:r w:rsidRPr="002871CC">
              <w:t>,50m</w:t>
            </w:r>
          </w:p>
        </w:tc>
        <w:tc>
          <w:tcPr>
            <w:tcW w:w="1276" w:type="dxa"/>
            <w:vAlign w:val="center"/>
          </w:tcPr>
          <w:p w14:paraId="58C9CB4A" w14:textId="750CB5AD" w:rsidR="002871CC" w:rsidRDefault="002871CC" w:rsidP="002871CC">
            <w:pPr>
              <w:pStyle w:val="NormalTableau"/>
              <w:jc w:val="center"/>
            </w:pPr>
            <w:r>
              <w:t>12</w:t>
            </w:r>
            <w:r w:rsidRPr="002871CC">
              <w:t>,50m</w:t>
            </w:r>
          </w:p>
        </w:tc>
        <w:tc>
          <w:tcPr>
            <w:tcW w:w="1134" w:type="dxa"/>
            <w:vAlign w:val="center"/>
          </w:tcPr>
          <w:p w14:paraId="5088C17B" w14:textId="77777777" w:rsidR="002871CC" w:rsidRDefault="002871CC" w:rsidP="002871CC">
            <w:pPr>
              <w:pStyle w:val="NormalTableau"/>
              <w:jc w:val="center"/>
            </w:pPr>
          </w:p>
        </w:tc>
      </w:tr>
      <w:tr w:rsidR="002871CC" w14:paraId="1E63C55C" w14:textId="77777777" w:rsidTr="002871CC">
        <w:trPr>
          <w:jc w:val="center"/>
        </w:trPr>
        <w:tc>
          <w:tcPr>
            <w:tcW w:w="1671" w:type="dxa"/>
            <w:vAlign w:val="center"/>
          </w:tcPr>
          <w:p w14:paraId="4A192237" w14:textId="65B9170B" w:rsidR="002871CC" w:rsidRDefault="002871CC" w:rsidP="002871CC">
            <w:pPr>
              <w:pStyle w:val="NormalTableau"/>
              <w:jc w:val="left"/>
            </w:pPr>
            <w:r>
              <w:t>Nombre min.</w:t>
            </w:r>
            <w:r>
              <w:t xml:space="preserve"> </w:t>
            </w:r>
            <w:r>
              <w:t>de niveaux pleins</w:t>
            </w:r>
          </w:p>
        </w:tc>
        <w:tc>
          <w:tcPr>
            <w:tcW w:w="1169" w:type="dxa"/>
            <w:vAlign w:val="center"/>
          </w:tcPr>
          <w:p w14:paraId="41427245" w14:textId="77777777" w:rsidR="002871CC" w:rsidRDefault="002871CC" w:rsidP="002871CC">
            <w:pPr>
              <w:pStyle w:val="NormalTableau"/>
              <w:jc w:val="center"/>
            </w:pPr>
          </w:p>
        </w:tc>
        <w:tc>
          <w:tcPr>
            <w:tcW w:w="1276" w:type="dxa"/>
            <w:vAlign w:val="center"/>
          </w:tcPr>
          <w:p w14:paraId="2D269630" w14:textId="03A29E78" w:rsidR="002871CC" w:rsidRDefault="002871CC" w:rsidP="002871CC">
            <w:pPr>
              <w:pStyle w:val="NormalTableau"/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3C5C701A" w14:textId="10A6155F" w:rsidR="002871CC" w:rsidRDefault="002871CC" w:rsidP="002871CC">
            <w:pPr>
              <w:pStyle w:val="NormalTableau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14:paraId="414565EB" w14:textId="77777777" w:rsidR="002871CC" w:rsidRDefault="002871CC" w:rsidP="002871CC">
            <w:pPr>
              <w:pStyle w:val="NormalTableau"/>
              <w:jc w:val="center"/>
            </w:pPr>
          </w:p>
        </w:tc>
      </w:tr>
      <w:tr w:rsidR="002871CC" w14:paraId="541ECD36" w14:textId="77777777" w:rsidTr="002871CC">
        <w:trPr>
          <w:jc w:val="center"/>
        </w:trPr>
        <w:tc>
          <w:tcPr>
            <w:tcW w:w="1671" w:type="dxa"/>
            <w:vAlign w:val="center"/>
          </w:tcPr>
          <w:p w14:paraId="74971DDB" w14:textId="43E991CB" w:rsidR="002871CC" w:rsidRDefault="002871CC" w:rsidP="002871CC">
            <w:pPr>
              <w:pStyle w:val="NormalTableau"/>
              <w:jc w:val="left"/>
            </w:pPr>
            <w:r>
              <w:t>Nombre max.</w:t>
            </w:r>
            <w:r>
              <w:t xml:space="preserve"> </w:t>
            </w:r>
            <w:r>
              <w:t>de niveaux pleins</w:t>
            </w:r>
          </w:p>
        </w:tc>
        <w:tc>
          <w:tcPr>
            <w:tcW w:w="1169" w:type="dxa"/>
            <w:vAlign w:val="center"/>
          </w:tcPr>
          <w:p w14:paraId="646146AE" w14:textId="77777777" w:rsidR="002871CC" w:rsidRDefault="002871CC" w:rsidP="002871CC">
            <w:pPr>
              <w:pStyle w:val="NormalTableau"/>
              <w:jc w:val="center"/>
            </w:pPr>
          </w:p>
        </w:tc>
        <w:tc>
          <w:tcPr>
            <w:tcW w:w="1276" w:type="dxa"/>
            <w:vAlign w:val="center"/>
          </w:tcPr>
          <w:p w14:paraId="02E15F40" w14:textId="4E8EA4B1" w:rsidR="002871CC" w:rsidRDefault="002871CC" w:rsidP="002871CC">
            <w:pPr>
              <w:pStyle w:val="NormalTableau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14:paraId="1B0FCC28" w14:textId="51510992" w:rsidR="002871CC" w:rsidRDefault="002871CC" w:rsidP="002871CC">
            <w:pPr>
              <w:pStyle w:val="NormalTableau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14:paraId="4817CCF6" w14:textId="77777777" w:rsidR="002871CC" w:rsidRDefault="002871CC" w:rsidP="002871CC">
            <w:pPr>
              <w:pStyle w:val="NormalTableau"/>
              <w:jc w:val="center"/>
            </w:pPr>
          </w:p>
        </w:tc>
      </w:tr>
    </w:tbl>
    <w:p w14:paraId="70DEA801" w14:textId="2CE8F5C4" w:rsidR="002871CC" w:rsidRDefault="002871CC" w:rsidP="002871CC"/>
    <w:p w14:paraId="77A69FD7" w14:textId="6B1AA439" w:rsidR="002871CC" w:rsidRDefault="002871CC" w:rsidP="002871CC">
      <w:pPr>
        <w:pStyle w:val="ListParagraph"/>
        <w:numPr>
          <w:ilvl w:val="0"/>
          <w:numId w:val="10"/>
        </w:numPr>
      </w:pPr>
      <w:r w:rsidRPr="002871CC">
        <w:t>Hauteurs et nombre de niveaux des constructions principales pour les zones mixtes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</w:tblGrid>
      <w:tr w:rsidR="002871CC" w:rsidRPr="002871CC" w14:paraId="02FCB24D" w14:textId="77777777" w:rsidTr="002871CC">
        <w:trPr>
          <w:trHeight w:val="267"/>
          <w:jc w:val="center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3EB7444E" w14:textId="77777777" w:rsidR="002871CC" w:rsidRPr="002871CC" w:rsidRDefault="002871CC" w:rsidP="002871CC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17C439AF" w14:textId="3079725C" w:rsidR="002871CC" w:rsidRPr="002871CC" w:rsidRDefault="002871CC" w:rsidP="002871CC">
            <w:pPr>
              <w:pStyle w:val="NormalTableau"/>
              <w:jc w:val="center"/>
              <w:rPr>
                <w:b/>
                <w:u w:val="single"/>
              </w:rPr>
            </w:pPr>
            <w:r w:rsidRPr="002871CC">
              <w:rPr>
                <w:b/>
                <w:u w:val="single"/>
              </w:rPr>
              <w:t>MIX-v II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DE59DC7" w14:textId="073126FA" w:rsidR="002871CC" w:rsidRPr="002871CC" w:rsidRDefault="002871CC" w:rsidP="002871CC">
            <w:pPr>
              <w:pStyle w:val="NormalTableau"/>
              <w:jc w:val="center"/>
              <w:rPr>
                <w:b/>
                <w:u w:val="single"/>
              </w:rPr>
            </w:pPr>
            <w:r w:rsidRPr="002871CC">
              <w:rPr>
                <w:b/>
                <w:u w:val="single"/>
              </w:rPr>
              <w:t>MIX-v III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CE2C5C4" w14:textId="70E1F48D" w:rsidR="002871CC" w:rsidRPr="002871CC" w:rsidRDefault="002871CC" w:rsidP="002871CC">
            <w:pPr>
              <w:pStyle w:val="NormalTableau"/>
              <w:jc w:val="center"/>
              <w:rPr>
                <w:b/>
                <w:u w:val="single"/>
              </w:rPr>
            </w:pPr>
            <w:r w:rsidRPr="002871CC">
              <w:rPr>
                <w:b/>
                <w:u w:val="single"/>
              </w:rPr>
              <w:t>MIX-v III+h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32C9CE50" w14:textId="41525ECF" w:rsidR="002871CC" w:rsidRPr="002871CC" w:rsidRDefault="002871CC" w:rsidP="002871CC">
            <w:pPr>
              <w:pStyle w:val="NormalTableau"/>
              <w:jc w:val="center"/>
              <w:rPr>
                <w:b/>
                <w:u w:val="single"/>
              </w:rPr>
            </w:pPr>
            <w:r w:rsidRPr="002871CC">
              <w:rPr>
                <w:b/>
                <w:u w:val="single"/>
              </w:rPr>
              <w:t>MIX-r II</w:t>
            </w:r>
          </w:p>
        </w:tc>
      </w:tr>
      <w:tr w:rsidR="002871CC" w:rsidRPr="002871CC" w14:paraId="13D08E1A" w14:textId="77777777" w:rsidTr="002871CC">
        <w:trPr>
          <w:jc w:val="center"/>
        </w:trPr>
        <w:tc>
          <w:tcPr>
            <w:tcW w:w="1413" w:type="dxa"/>
          </w:tcPr>
          <w:p w14:paraId="4105A160" w14:textId="21D03F61" w:rsidR="002871CC" w:rsidRPr="002871CC" w:rsidRDefault="002871CC" w:rsidP="002871CC">
            <w:pPr>
              <w:pStyle w:val="NormalTableau"/>
            </w:pPr>
            <w:r w:rsidRPr="002871CC">
              <w:t>Hauteur min. à la corniche</w:t>
            </w:r>
          </w:p>
        </w:tc>
        <w:tc>
          <w:tcPr>
            <w:tcW w:w="1276" w:type="dxa"/>
            <w:vAlign w:val="center"/>
          </w:tcPr>
          <w:p w14:paraId="100CB9B8" w14:textId="72C21B3F" w:rsidR="002871CC" w:rsidRPr="002871CC" w:rsidRDefault="002871CC" w:rsidP="002871CC">
            <w:pPr>
              <w:pStyle w:val="NormalTableau"/>
              <w:jc w:val="center"/>
            </w:pPr>
            <w:r w:rsidRPr="002871CC">
              <w:t>4,50 m</w:t>
            </w:r>
          </w:p>
        </w:tc>
        <w:tc>
          <w:tcPr>
            <w:tcW w:w="1275" w:type="dxa"/>
            <w:vAlign w:val="center"/>
          </w:tcPr>
          <w:p w14:paraId="533D7327" w14:textId="77AD3035" w:rsidR="002871CC" w:rsidRPr="002871CC" w:rsidRDefault="002871CC" w:rsidP="002871CC">
            <w:pPr>
              <w:pStyle w:val="NormalTableau"/>
              <w:jc w:val="center"/>
            </w:pPr>
            <w:r w:rsidRPr="002871CC">
              <w:t>6,50 m</w:t>
            </w:r>
          </w:p>
        </w:tc>
        <w:tc>
          <w:tcPr>
            <w:tcW w:w="1276" w:type="dxa"/>
            <w:vAlign w:val="center"/>
          </w:tcPr>
          <w:p w14:paraId="7777788E" w14:textId="4AB83772" w:rsidR="002871CC" w:rsidRPr="002871CC" w:rsidRDefault="002871CC" w:rsidP="002871CC">
            <w:pPr>
              <w:pStyle w:val="NormalTableau"/>
              <w:jc w:val="center"/>
            </w:pPr>
            <w:r w:rsidRPr="002871CC">
              <w:t>7,50m</w:t>
            </w:r>
          </w:p>
        </w:tc>
        <w:tc>
          <w:tcPr>
            <w:tcW w:w="1276" w:type="dxa"/>
            <w:vAlign w:val="center"/>
          </w:tcPr>
          <w:p w14:paraId="3D58D42D" w14:textId="1833E34A" w:rsidR="002871CC" w:rsidRPr="002871CC" w:rsidRDefault="002871CC" w:rsidP="002871CC">
            <w:pPr>
              <w:pStyle w:val="NormalTableau"/>
              <w:jc w:val="center"/>
            </w:pPr>
            <w:r w:rsidRPr="002871CC">
              <w:t>/</w:t>
            </w:r>
          </w:p>
        </w:tc>
      </w:tr>
      <w:tr w:rsidR="002871CC" w:rsidRPr="002871CC" w14:paraId="02C28F8C" w14:textId="77777777" w:rsidTr="002871CC">
        <w:trPr>
          <w:jc w:val="center"/>
        </w:trPr>
        <w:tc>
          <w:tcPr>
            <w:tcW w:w="1413" w:type="dxa"/>
          </w:tcPr>
          <w:p w14:paraId="6408DB1D" w14:textId="4EED53A1" w:rsidR="002871CC" w:rsidRPr="002871CC" w:rsidRDefault="002871CC" w:rsidP="002871CC">
            <w:pPr>
              <w:pStyle w:val="NormalTableau"/>
            </w:pPr>
            <w:r w:rsidRPr="002871CC">
              <w:t>Hauteur max. à la corniche</w:t>
            </w:r>
          </w:p>
        </w:tc>
        <w:tc>
          <w:tcPr>
            <w:tcW w:w="1276" w:type="dxa"/>
            <w:vAlign w:val="center"/>
          </w:tcPr>
          <w:p w14:paraId="42CAE26B" w14:textId="62F3F91C" w:rsidR="002871CC" w:rsidRPr="002871CC" w:rsidRDefault="002871CC" w:rsidP="002871CC">
            <w:pPr>
              <w:pStyle w:val="NormalTableau"/>
              <w:jc w:val="center"/>
            </w:pPr>
            <w:r w:rsidRPr="002871CC">
              <w:t>6,50 m</w:t>
            </w:r>
          </w:p>
        </w:tc>
        <w:tc>
          <w:tcPr>
            <w:tcW w:w="1275" w:type="dxa"/>
            <w:vAlign w:val="center"/>
          </w:tcPr>
          <w:p w14:paraId="7C5CF883" w14:textId="1277FE97" w:rsidR="002871CC" w:rsidRPr="002871CC" w:rsidRDefault="002871CC" w:rsidP="002871CC">
            <w:pPr>
              <w:pStyle w:val="NormalTableau"/>
              <w:jc w:val="center"/>
            </w:pPr>
            <w:r w:rsidRPr="002871CC">
              <w:t>8,50m</w:t>
            </w:r>
          </w:p>
        </w:tc>
        <w:tc>
          <w:tcPr>
            <w:tcW w:w="1276" w:type="dxa"/>
            <w:vAlign w:val="center"/>
          </w:tcPr>
          <w:p w14:paraId="15B6AB09" w14:textId="4CD04FD0" w:rsidR="002871CC" w:rsidRPr="002871CC" w:rsidRDefault="002871CC" w:rsidP="002871CC">
            <w:pPr>
              <w:pStyle w:val="NormalTableau"/>
              <w:jc w:val="center"/>
            </w:pPr>
            <w:r w:rsidRPr="002871CC">
              <w:t>9,50m</w:t>
            </w:r>
          </w:p>
        </w:tc>
        <w:tc>
          <w:tcPr>
            <w:tcW w:w="1276" w:type="dxa"/>
            <w:vAlign w:val="center"/>
          </w:tcPr>
          <w:p w14:paraId="1BCC2C0C" w14:textId="012B04DD" w:rsidR="002871CC" w:rsidRPr="002871CC" w:rsidRDefault="002871CC" w:rsidP="002871CC">
            <w:pPr>
              <w:pStyle w:val="NormalTableau"/>
              <w:jc w:val="center"/>
            </w:pPr>
            <w:r w:rsidRPr="002871CC">
              <w:t>6,50 m</w:t>
            </w:r>
          </w:p>
        </w:tc>
      </w:tr>
      <w:tr w:rsidR="002871CC" w:rsidRPr="002871CC" w14:paraId="63057497" w14:textId="77777777" w:rsidTr="002871CC">
        <w:trPr>
          <w:jc w:val="center"/>
        </w:trPr>
        <w:tc>
          <w:tcPr>
            <w:tcW w:w="1413" w:type="dxa"/>
          </w:tcPr>
          <w:p w14:paraId="72F58F24" w14:textId="1144198D" w:rsidR="002871CC" w:rsidRPr="002871CC" w:rsidRDefault="002871CC" w:rsidP="002871CC">
            <w:pPr>
              <w:pStyle w:val="NormalTableau"/>
            </w:pPr>
            <w:r w:rsidRPr="002871CC">
              <w:t>Hauteur max. au faitage</w:t>
            </w:r>
          </w:p>
        </w:tc>
        <w:tc>
          <w:tcPr>
            <w:tcW w:w="1276" w:type="dxa"/>
            <w:vAlign w:val="center"/>
          </w:tcPr>
          <w:p w14:paraId="5181532F" w14:textId="15277586" w:rsidR="002871CC" w:rsidRPr="002871CC" w:rsidRDefault="002871CC" w:rsidP="002871CC">
            <w:pPr>
              <w:pStyle w:val="NormalTableau"/>
              <w:jc w:val="center"/>
            </w:pPr>
            <w:r w:rsidRPr="002871CC">
              <w:t>10,50 m</w:t>
            </w:r>
          </w:p>
        </w:tc>
        <w:tc>
          <w:tcPr>
            <w:tcW w:w="1275" w:type="dxa"/>
            <w:vAlign w:val="center"/>
          </w:tcPr>
          <w:p w14:paraId="69611CB2" w14:textId="5D0FC94E" w:rsidR="002871CC" w:rsidRPr="002871CC" w:rsidRDefault="002871CC" w:rsidP="002871CC">
            <w:pPr>
              <w:pStyle w:val="NormalTableau"/>
              <w:jc w:val="center"/>
            </w:pPr>
            <w:r w:rsidRPr="002871CC">
              <w:t>12,50m</w:t>
            </w:r>
          </w:p>
        </w:tc>
        <w:tc>
          <w:tcPr>
            <w:tcW w:w="1276" w:type="dxa"/>
            <w:vAlign w:val="center"/>
          </w:tcPr>
          <w:p w14:paraId="4D96C4B6" w14:textId="47DEBC09" w:rsidR="002871CC" w:rsidRPr="002871CC" w:rsidRDefault="002871CC" w:rsidP="002871CC">
            <w:pPr>
              <w:pStyle w:val="NormalTableau"/>
              <w:jc w:val="center"/>
            </w:pPr>
            <w:r w:rsidRPr="002871CC">
              <w:t>13,50m</w:t>
            </w:r>
          </w:p>
        </w:tc>
        <w:tc>
          <w:tcPr>
            <w:tcW w:w="1276" w:type="dxa"/>
            <w:vAlign w:val="center"/>
          </w:tcPr>
          <w:p w14:paraId="2C05511C" w14:textId="005D20AF" w:rsidR="002871CC" w:rsidRPr="002871CC" w:rsidRDefault="002871CC" w:rsidP="002871CC">
            <w:pPr>
              <w:pStyle w:val="NormalTableau"/>
              <w:jc w:val="center"/>
            </w:pPr>
            <w:r w:rsidRPr="002871CC">
              <w:t>10,50 m</w:t>
            </w:r>
          </w:p>
        </w:tc>
      </w:tr>
      <w:tr w:rsidR="002871CC" w:rsidRPr="002871CC" w14:paraId="599E2D30" w14:textId="77777777" w:rsidTr="002871CC">
        <w:trPr>
          <w:jc w:val="center"/>
        </w:trPr>
        <w:tc>
          <w:tcPr>
            <w:tcW w:w="1413" w:type="dxa"/>
          </w:tcPr>
          <w:p w14:paraId="0D7A5FAF" w14:textId="79ADCB7D" w:rsidR="002871CC" w:rsidRPr="002871CC" w:rsidRDefault="002871CC" w:rsidP="002871CC">
            <w:pPr>
              <w:pStyle w:val="NormalTableau"/>
            </w:pPr>
            <w:r w:rsidRPr="002871CC">
              <w:t>Nombre min. de niveaux pleins</w:t>
            </w:r>
          </w:p>
        </w:tc>
        <w:tc>
          <w:tcPr>
            <w:tcW w:w="1276" w:type="dxa"/>
            <w:vAlign w:val="center"/>
          </w:tcPr>
          <w:p w14:paraId="2AB574B2" w14:textId="0FBB815D" w:rsidR="002871CC" w:rsidRPr="002871CC" w:rsidRDefault="002871CC" w:rsidP="002871CC">
            <w:pPr>
              <w:pStyle w:val="NormalTableau"/>
              <w:jc w:val="center"/>
            </w:pPr>
            <w:r w:rsidRPr="002871CC">
              <w:t>1</w:t>
            </w:r>
          </w:p>
        </w:tc>
        <w:tc>
          <w:tcPr>
            <w:tcW w:w="1275" w:type="dxa"/>
            <w:vAlign w:val="center"/>
          </w:tcPr>
          <w:p w14:paraId="0E4AAC61" w14:textId="72036C81" w:rsidR="002871CC" w:rsidRPr="002871CC" w:rsidRDefault="002871CC" w:rsidP="002871CC">
            <w:pPr>
              <w:pStyle w:val="NormalTableau"/>
              <w:jc w:val="center"/>
            </w:pPr>
            <w:r w:rsidRPr="002871CC">
              <w:t>2</w:t>
            </w:r>
          </w:p>
        </w:tc>
        <w:tc>
          <w:tcPr>
            <w:tcW w:w="1276" w:type="dxa"/>
            <w:vAlign w:val="center"/>
          </w:tcPr>
          <w:p w14:paraId="61C3C54D" w14:textId="77777777" w:rsidR="002871CC" w:rsidRPr="002871CC" w:rsidRDefault="002871CC" w:rsidP="002871CC">
            <w:pPr>
              <w:pStyle w:val="NormalTableau"/>
              <w:jc w:val="center"/>
            </w:pPr>
            <w:r w:rsidRPr="002871CC">
              <w:t>2</w:t>
            </w:r>
          </w:p>
        </w:tc>
        <w:tc>
          <w:tcPr>
            <w:tcW w:w="1276" w:type="dxa"/>
            <w:vAlign w:val="center"/>
          </w:tcPr>
          <w:p w14:paraId="2E75006D" w14:textId="08667472" w:rsidR="002871CC" w:rsidRPr="002871CC" w:rsidRDefault="002871CC" w:rsidP="002871CC">
            <w:pPr>
              <w:pStyle w:val="NormalTableau"/>
              <w:jc w:val="center"/>
            </w:pPr>
            <w:r w:rsidRPr="002871CC">
              <w:t>1</w:t>
            </w:r>
          </w:p>
        </w:tc>
      </w:tr>
      <w:tr w:rsidR="002871CC" w:rsidRPr="002871CC" w14:paraId="60B75DE6" w14:textId="77777777" w:rsidTr="002871CC">
        <w:trPr>
          <w:jc w:val="center"/>
        </w:trPr>
        <w:tc>
          <w:tcPr>
            <w:tcW w:w="1413" w:type="dxa"/>
          </w:tcPr>
          <w:p w14:paraId="245D1318" w14:textId="7989E1BA" w:rsidR="002871CC" w:rsidRPr="002871CC" w:rsidRDefault="002871CC" w:rsidP="002871CC">
            <w:pPr>
              <w:pStyle w:val="NormalTableau"/>
            </w:pPr>
            <w:r w:rsidRPr="002871CC">
              <w:t>Nombre max. de niveaux pleins</w:t>
            </w:r>
          </w:p>
        </w:tc>
        <w:tc>
          <w:tcPr>
            <w:tcW w:w="1276" w:type="dxa"/>
            <w:vAlign w:val="center"/>
          </w:tcPr>
          <w:p w14:paraId="21B242B5" w14:textId="5D8DFC53" w:rsidR="002871CC" w:rsidRPr="002871CC" w:rsidRDefault="002871CC" w:rsidP="002871CC">
            <w:pPr>
              <w:pStyle w:val="NormalTableau"/>
              <w:jc w:val="center"/>
            </w:pPr>
            <w:r w:rsidRPr="002871CC">
              <w:t>2</w:t>
            </w:r>
          </w:p>
        </w:tc>
        <w:tc>
          <w:tcPr>
            <w:tcW w:w="1275" w:type="dxa"/>
            <w:vAlign w:val="center"/>
          </w:tcPr>
          <w:p w14:paraId="4EB5DC11" w14:textId="00ED155F" w:rsidR="002871CC" w:rsidRPr="002871CC" w:rsidRDefault="002871CC" w:rsidP="002871CC">
            <w:pPr>
              <w:pStyle w:val="NormalTableau"/>
              <w:jc w:val="center"/>
            </w:pPr>
            <w:r w:rsidRPr="002871CC">
              <w:t>3</w:t>
            </w:r>
          </w:p>
        </w:tc>
        <w:tc>
          <w:tcPr>
            <w:tcW w:w="1276" w:type="dxa"/>
            <w:vAlign w:val="center"/>
          </w:tcPr>
          <w:p w14:paraId="31C84880" w14:textId="77777777" w:rsidR="002871CC" w:rsidRPr="002871CC" w:rsidRDefault="002871CC" w:rsidP="002871CC">
            <w:pPr>
              <w:pStyle w:val="NormalTableau"/>
              <w:jc w:val="center"/>
            </w:pPr>
            <w:r w:rsidRPr="002871CC">
              <w:t>3</w:t>
            </w:r>
          </w:p>
        </w:tc>
        <w:tc>
          <w:tcPr>
            <w:tcW w:w="1276" w:type="dxa"/>
            <w:vAlign w:val="center"/>
          </w:tcPr>
          <w:p w14:paraId="6B92258C" w14:textId="225985D3" w:rsidR="002871CC" w:rsidRPr="002871CC" w:rsidRDefault="002871CC" w:rsidP="002871CC">
            <w:pPr>
              <w:pStyle w:val="NormalTableau"/>
              <w:jc w:val="center"/>
            </w:pPr>
            <w:r w:rsidRPr="002871CC">
              <w:t>2</w:t>
            </w:r>
          </w:p>
        </w:tc>
      </w:tr>
    </w:tbl>
    <w:p w14:paraId="781B1492" w14:textId="2AB6DB55" w:rsidR="002871CC" w:rsidRDefault="002871CC" w:rsidP="002871CC"/>
    <w:p w14:paraId="44091875" w14:textId="762787F4" w:rsidR="002871CC" w:rsidRDefault="002871CC" w:rsidP="002871CC">
      <w:pPr>
        <w:ind w:left="720"/>
      </w:pPr>
      <w:r>
        <w:t xml:space="preserve">En </w:t>
      </w:r>
      <w:proofErr w:type="spellStart"/>
      <w:r>
        <w:t>MIX-v</w:t>
      </w:r>
      <w:proofErr w:type="spellEnd"/>
      <w:r>
        <w:t xml:space="preserve"> </w:t>
      </w:r>
      <w:proofErr w:type="spellStart"/>
      <w:r>
        <w:t>III+h</w:t>
      </w:r>
      <w:proofErr w:type="spellEnd"/>
      <w:r>
        <w:t xml:space="preserve"> un mètre en hauteur supplémentaire peut être autorisé au niveau des</w:t>
      </w:r>
      <w:r>
        <w:t xml:space="preserve"> </w:t>
      </w:r>
      <w:r>
        <w:t>hauteurs maximales à la corniche et au faîtage pour les bâtiments avec trois niveaux pleins</w:t>
      </w:r>
      <w:r>
        <w:t xml:space="preserve"> </w:t>
      </w:r>
      <w:r>
        <w:t>intégrant une activité autre que le logement (usage commercial, restaurant, bureau etc.) en</w:t>
      </w:r>
      <w:r>
        <w:t xml:space="preserve"> </w:t>
      </w:r>
      <w:r>
        <w:t>rez-de-chaussée, ainsi que pour la réalisation d’un socle en raison de la topographie et/ou</w:t>
      </w:r>
      <w:r>
        <w:t xml:space="preserve"> </w:t>
      </w:r>
      <w:r>
        <w:t>de l’insertion au niveau de l’environnement construit.</w:t>
      </w:r>
    </w:p>
    <w:p w14:paraId="43B5E6E1" w14:textId="77777777" w:rsidR="002871CC" w:rsidRPr="006454FF" w:rsidRDefault="002871CC" w:rsidP="006454FF">
      <w:pPr>
        <w:pStyle w:val="Heading1"/>
      </w:pPr>
      <w:r w:rsidRPr="006454FF">
        <w:lastRenderedPageBreak/>
        <w:t>Art. 9 Largeur des constructions principales hors-sol et sous-sol</w:t>
      </w:r>
    </w:p>
    <w:p w14:paraId="70E31D13" w14:textId="6702AA03" w:rsidR="002871CC" w:rsidRDefault="002871CC" w:rsidP="00543DA3">
      <w:pPr>
        <w:pStyle w:val="ListParagraph"/>
        <w:numPr>
          <w:ilvl w:val="0"/>
          <w:numId w:val="11"/>
        </w:numPr>
      </w:pPr>
      <w:r>
        <w:t>Pour les maisons unifamiliales et bi-familiales isolées la largeur minimale est de 5,50 mètres</w:t>
      </w:r>
      <w:r w:rsidR="006454FF">
        <w:t xml:space="preserve"> </w:t>
      </w:r>
      <w:r>
        <w:t>et la largeur maximale est de 30 mètres.</w:t>
      </w:r>
    </w:p>
    <w:p w14:paraId="3C6FEFCC" w14:textId="7483AD41" w:rsidR="002871CC" w:rsidRDefault="002871CC" w:rsidP="00662A4F">
      <w:pPr>
        <w:pStyle w:val="ListParagraph"/>
        <w:numPr>
          <w:ilvl w:val="0"/>
          <w:numId w:val="11"/>
        </w:numPr>
      </w:pPr>
      <w:r>
        <w:t>Pour les maisons unifamiliales et bi-familiales jumelées la largeur minimale par maison est</w:t>
      </w:r>
      <w:r w:rsidR="006454FF">
        <w:t xml:space="preserve"> </w:t>
      </w:r>
      <w:r>
        <w:t>de 5,50 mètres et la largeur maximale pour l’ensemble est de 30 mètres.</w:t>
      </w:r>
    </w:p>
    <w:p w14:paraId="79A3D90E" w14:textId="03078C5B" w:rsidR="002871CC" w:rsidRDefault="002871CC" w:rsidP="00C44480">
      <w:pPr>
        <w:pStyle w:val="ListParagraph"/>
        <w:numPr>
          <w:ilvl w:val="0"/>
          <w:numId w:val="11"/>
        </w:numPr>
      </w:pPr>
      <w:r>
        <w:t>Pour les maisons unifamiliales et bi-familiales groupées en bande de plusieurs unités, la</w:t>
      </w:r>
      <w:r w:rsidR="006454FF">
        <w:t xml:space="preserve"> </w:t>
      </w:r>
      <w:r>
        <w:t>largeur minimale par unité est de 5,50 mètres et la largeur maximale est de 10 mètres. Le</w:t>
      </w:r>
      <w:r w:rsidR="006454FF">
        <w:t xml:space="preserve"> </w:t>
      </w:r>
      <w:r>
        <w:t>nombre de maisons groupées est limité à 7 unités et la largeur additionnée de l’ensemble</w:t>
      </w:r>
      <w:r w:rsidR="006454FF">
        <w:t xml:space="preserve"> </w:t>
      </w:r>
      <w:r>
        <w:t>des maisons ne dépasse pas 60 mètres de façade principale avec au moins un</w:t>
      </w:r>
      <w:r w:rsidR="006454FF">
        <w:t xml:space="preserve"> </w:t>
      </w:r>
      <w:r>
        <w:t>décrochement des maisons en profondeur de 1,5 mètre à partir de 30 mètres.</w:t>
      </w:r>
    </w:p>
    <w:p w14:paraId="1C953BA6" w14:textId="71ACCC2C" w:rsidR="002871CC" w:rsidRDefault="002871CC" w:rsidP="001170CF">
      <w:pPr>
        <w:pStyle w:val="ListParagraph"/>
        <w:numPr>
          <w:ilvl w:val="0"/>
          <w:numId w:val="11"/>
        </w:numPr>
      </w:pPr>
      <w:r>
        <w:t>Pour les maisons plurifamiliales isolées ou jumelées, la largeur minimale par maison est de</w:t>
      </w:r>
      <w:r w:rsidR="006454FF">
        <w:t xml:space="preserve"> </w:t>
      </w:r>
      <w:r>
        <w:t>12 mètres et la largeur maximale pour l’ensemble est de 30 mètres. La façade sur rue doit</w:t>
      </w:r>
      <w:r w:rsidR="006454FF">
        <w:t xml:space="preserve"> </w:t>
      </w:r>
      <w:r>
        <w:t>présenter au moins un décrochement en profondeur d’un minimum de 1,5 mètre et en largeur</w:t>
      </w:r>
      <w:r w:rsidR="006454FF">
        <w:t xml:space="preserve"> </w:t>
      </w:r>
      <w:r>
        <w:t>d’un minimum de 5 mètres.</w:t>
      </w:r>
    </w:p>
    <w:p w14:paraId="57A9B2FC" w14:textId="7813C82D" w:rsidR="002871CC" w:rsidRDefault="002871CC" w:rsidP="0092561F">
      <w:pPr>
        <w:pStyle w:val="ListParagraph"/>
        <w:numPr>
          <w:ilvl w:val="0"/>
          <w:numId w:val="11"/>
        </w:numPr>
      </w:pPr>
      <w:r>
        <w:t>Le nombre de maisons plurifamiliales groupées en bande est limité à 3 unités et la largeur</w:t>
      </w:r>
      <w:r w:rsidR="006454FF">
        <w:t xml:space="preserve"> </w:t>
      </w:r>
      <w:r>
        <w:t>additionnée ne dépasse pas 60 mètres de façade sur rue. La façade sur rue doit présenter</w:t>
      </w:r>
      <w:r w:rsidR="006454FF">
        <w:t xml:space="preserve"> </w:t>
      </w:r>
      <w:r>
        <w:t>au moins un décrochement en profondeur d’un minimum de 1,5 mètre et en largeur d’un</w:t>
      </w:r>
      <w:r w:rsidR="006454FF">
        <w:t xml:space="preserve"> </w:t>
      </w:r>
      <w:r>
        <w:t>minimum de 5 mètres avec une même hauteur à la corniche et ce pour chaque tranche</w:t>
      </w:r>
      <w:r w:rsidR="006454FF">
        <w:t xml:space="preserve"> </w:t>
      </w:r>
      <w:r>
        <w:t>entamée de 30 mètres de façade.</w:t>
      </w:r>
    </w:p>
    <w:p w14:paraId="0F1D86AD" w14:textId="3A135B22" w:rsidR="002871CC" w:rsidRDefault="002871CC" w:rsidP="0061758E">
      <w:pPr>
        <w:pStyle w:val="ListParagraph"/>
        <w:numPr>
          <w:ilvl w:val="0"/>
          <w:numId w:val="11"/>
        </w:numPr>
      </w:pPr>
      <w:r>
        <w:t>Les constructions en sous-sol peuvent dépasser la largeur maximale admise pour les</w:t>
      </w:r>
      <w:r w:rsidR="006454FF">
        <w:t xml:space="preserve"> </w:t>
      </w:r>
      <w:r>
        <w:t>constructions principales hors-sol. Les prescriptions relatives aux reculs et distances sont à</w:t>
      </w:r>
      <w:r w:rsidR="006454FF">
        <w:t xml:space="preserve"> </w:t>
      </w:r>
      <w:r>
        <w:t>respecter.</w:t>
      </w:r>
    </w:p>
    <w:p w14:paraId="59B843E8" w14:textId="4086C921" w:rsidR="002871CC" w:rsidRDefault="002871CC" w:rsidP="007A733F">
      <w:pPr>
        <w:pStyle w:val="ListParagraph"/>
        <w:numPr>
          <w:ilvl w:val="0"/>
          <w:numId w:val="11"/>
        </w:numPr>
      </w:pPr>
      <w:r>
        <w:t>Les constructions principales non-destinées à l’habitat auront une largeur et une façade sur</w:t>
      </w:r>
      <w:r w:rsidR="006454FF">
        <w:t xml:space="preserve"> </w:t>
      </w:r>
      <w:r>
        <w:t>rue de maximum 30 mètres.</w:t>
      </w:r>
    </w:p>
    <w:p w14:paraId="0D120635" w14:textId="77777777" w:rsidR="002871CC" w:rsidRPr="006454FF" w:rsidRDefault="002871CC" w:rsidP="006454FF">
      <w:pPr>
        <w:pStyle w:val="Heading1"/>
      </w:pPr>
      <w:r w:rsidRPr="006454FF">
        <w:t>Art. 10 Profondeurs des constructions principales hors-sol et sous-sol</w:t>
      </w:r>
    </w:p>
    <w:p w14:paraId="0B8BAB71" w14:textId="331D6268" w:rsidR="002871CC" w:rsidRDefault="002871CC" w:rsidP="00EB7FD4">
      <w:pPr>
        <w:pStyle w:val="ListParagraph"/>
        <w:numPr>
          <w:ilvl w:val="0"/>
          <w:numId w:val="13"/>
        </w:numPr>
      </w:pPr>
      <w:r>
        <w:t>La profondeur des constructions principales hors-sol ne pourra excéder 15 mètres, sauf pour</w:t>
      </w:r>
      <w:r w:rsidR="006454FF">
        <w:t xml:space="preserve"> </w:t>
      </w:r>
      <w:r>
        <w:t>les bâtiments agricoles qui pourront avoir une profondeur hors-sol de 20 mètres. La</w:t>
      </w:r>
      <w:r w:rsidR="006454FF">
        <w:t xml:space="preserve"> </w:t>
      </w:r>
      <w:r>
        <w:t>profondeur des constructions en sous-sol ne pourra excéder 22 mètres.</w:t>
      </w:r>
    </w:p>
    <w:p w14:paraId="5783DC6A" w14:textId="1315F9E5" w:rsidR="002871CC" w:rsidRDefault="002871CC" w:rsidP="0048675F">
      <w:pPr>
        <w:pStyle w:val="ListParagraph"/>
        <w:numPr>
          <w:ilvl w:val="0"/>
          <w:numId w:val="13"/>
        </w:numPr>
      </w:pPr>
      <w:r>
        <w:t>Au niveau des maisons unifamiliales isolées et jumelées, la profondeur de construction hors</w:t>
      </w:r>
      <w:r w:rsidR="006454FF">
        <w:t>-</w:t>
      </w:r>
      <w:r>
        <w:t>sol</w:t>
      </w:r>
      <w:r w:rsidR="006454FF">
        <w:t xml:space="preserve"> </w:t>
      </w:r>
      <w:r>
        <w:t>peut être étendue à 20 mètres au niveau du rez-de-chaussée afin de permettre la</w:t>
      </w:r>
      <w:r w:rsidR="006454FF">
        <w:t xml:space="preserve"> </w:t>
      </w:r>
      <w:r>
        <w:t>construction d’annexes, telles : terrasses sur remblai, terrasses couvertes et vérandas, et ce</w:t>
      </w:r>
      <w:r w:rsidR="006454FF">
        <w:t xml:space="preserve"> </w:t>
      </w:r>
      <w:r>
        <w:t>sous condition de respecter les reculs et les prescriptions dimensionnelles pour annexes.</w:t>
      </w:r>
    </w:p>
    <w:p w14:paraId="78ABBED2" w14:textId="77777777" w:rsidR="002871CC" w:rsidRDefault="002871CC" w:rsidP="006454FF">
      <w:pPr>
        <w:pStyle w:val="Heading1"/>
      </w:pPr>
      <w:r>
        <w:lastRenderedPageBreak/>
        <w:t>Art. 11 Reculs et distances</w:t>
      </w:r>
    </w:p>
    <w:p w14:paraId="6FC48934" w14:textId="4C9F3B90" w:rsidR="002871CC" w:rsidRDefault="002871CC" w:rsidP="006454FF">
      <w:pPr>
        <w:pStyle w:val="ListParagraph"/>
        <w:numPr>
          <w:ilvl w:val="0"/>
          <w:numId w:val="15"/>
        </w:numPr>
      </w:pPr>
      <w:r>
        <w:t xml:space="preserve">Implantation par rapport aux voies </w:t>
      </w:r>
      <w:proofErr w:type="spellStart"/>
      <w:r>
        <w:t>desservantes</w:t>
      </w:r>
      <w:proofErr w:type="spellEnd"/>
      <w:r>
        <w:t>:</w:t>
      </w:r>
    </w:p>
    <w:p w14:paraId="3DE63C1B" w14:textId="77777777" w:rsidR="006454FF" w:rsidRDefault="002871CC" w:rsidP="002871CC">
      <w:pPr>
        <w:pStyle w:val="ListParagraph"/>
        <w:numPr>
          <w:ilvl w:val="0"/>
          <w:numId w:val="16"/>
        </w:numPr>
      </w:pPr>
      <w:r>
        <w:t>Les constructions principales hors-sol et sous-sol sont implantées obligatoirement dans le</w:t>
      </w:r>
      <w:r w:rsidR="006454FF">
        <w:t xml:space="preserve"> </w:t>
      </w:r>
      <w:r>
        <w:t>plan d’alignement avant des constructions principales hors-sol voisines à moins que la</w:t>
      </w:r>
      <w:r w:rsidR="006454FF">
        <w:t xml:space="preserve"> </w:t>
      </w:r>
      <w:r>
        <w:t>partie graphique du PAP QE indique des alignements obligatoires et/ou des limites de</w:t>
      </w:r>
      <w:r w:rsidR="006454FF">
        <w:t xml:space="preserve"> </w:t>
      </w:r>
      <w:r>
        <w:t>surfaces constructibles.</w:t>
      </w:r>
    </w:p>
    <w:p w14:paraId="327E4CC9" w14:textId="67B2A8B3" w:rsidR="002871CC" w:rsidRDefault="002871CC" w:rsidP="006454FF">
      <w:pPr>
        <w:pStyle w:val="ListParagraph"/>
        <w:numPr>
          <w:ilvl w:val="0"/>
          <w:numId w:val="16"/>
        </w:numPr>
      </w:pPr>
      <w:r>
        <w:t>En cas d’absence de constructions principales hors-sol existantes, la marge de reculement</w:t>
      </w:r>
      <w:r w:rsidR="006454FF">
        <w:t xml:space="preserve"> </w:t>
      </w:r>
      <w:r>
        <w:t>le long des voiries publiques, prise à partir de la limite extérieure du trottoir ou des</w:t>
      </w:r>
      <w:r w:rsidR="006454FF">
        <w:t xml:space="preserve"> </w:t>
      </w:r>
      <w:r>
        <w:t>aménagements équivalents (rues résidentielles), sera le long de toute voie ouverte à la</w:t>
      </w:r>
      <w:r w:rsidR="006454FF">
        <w:t xml:space="preserve"> </w:t>
      </w:r>
      <w:r>
        <w:t>circulation au minimum 5 mètres et maximum 8 mètres.</w:t>
      </w:r>
    </w:p>
    <w:p w14:paraId="72C5833F" w14:textId="36A23B7E" w:rsidR="002871CC" w:rsidRDefault="002871CC" w:rsidP="00B06764">
      <w:pPr>
        <w:pStyle w:val="ListParagraph"/>
        <w:numPr>
          <w:ilvl w:val="0"/>
          <w:numId w:val="15"/>
        </w:numPr>
      </w:pPr>
      <w:r>
        <w:t>Implantation par rapport aux limites séparatives latérales et aux constructions principales</w:t>
      </w:r>
      <w:r w:rsidR="006454FF">
        <w:t xml:space="preserve"> </w:t>
      </w:r>
      <w:r>
        <w:t>existantes:</w:t>
      </w:r>
    </w:p>
    <w:p w14:paraId="77F34ECB" w14:textId="77777777" w:rsidR="006454FF" w:rsidRDefault="002871CC" w:rsidP="002871CC">
      <w:pPr>
        <w:pStyle w:val="ListParagraph"/>
        <w:numPr>
          <w:ilvl w:val="0"/>
          <w:numId w:val="17"/>
        </w:numPr>
      </w:pPr>
      <w:r>
        <w:t>La construction principale projetée est implantée obligatoirement en ordre contigu dans le</w:t>
      </w:r>
      <w:r w:rsidR="006454FF">
        <w:t xml:space="preserve"> </w:t>
      </w:r>
      <w:r>
        <w:t>cas où la construction principale existante sur le terrain voisin n’affiche pas de recul latéral</w:t>
      </w:r>
      <w:r w:rsidR="006454FF">
        <w:t xml:space="preserve"> </w:t>
      </w:r>
      <w:r>
        <w:t>et que son pignon présente ni d’ouvertures servant à l’éclairage ou à l’aération, ni de saillies.</w:t>
      </w:r>
    </w:p>
    <w:p w14:paraId="6D8AFB2E" w14:textId="77777777" w:rsidR="006454FF" w:rsidRDefault="002871CC" w:rsidP="002871CC">
      <w:pPr>
        <w:pStyle w:val="ListParagraph"/>
        <w:numPr>
          <w:ilvl w:val="0"/>
          <w:numId w:val="17"/>
        </w:numPr>
      </w:pPr>
      <w:r>
        <w:t>Les marges de recul sur les limites latérales sont obligatoires, si une construction principale</w:t>
      </w:r>
      <w:r w:rsidR="006454FF">
        <w:t xml:space="preserve"> </w:t>
      </w:r>
      <w:r>
        <w:t>existante sur un terrain attenant accuse un recul sur la limite latérale. Toute construction</w:t>
      </w:r>
      <w:r w:rsidR="006454FF">
        <w:t xml:space="preserve"> </w:t>
      </w:r>
      <w:r>
        <w:t>principale doit respecter un recul latéral égal ou supérieur à 3 mètres.</w:t>
      </w:r>
    </w:p>
    <w:p w14:paraId="712F127F" w14:textId="77777777" w:rsidR="006454FF" w:rsidRDefault="002871CC" w:rsidP="002871CC">
      <w:pPr>
        <w:pStyle w:val="ListParagraph"/>
        <w:numPr>
          <w:ilvl w:val="0"/>
          <w:numId w:val="17"/>
        </w:numPr>
      </w:pPr>
      <w:r>
        <w:t>Le recul sur la limite de propriété latérale est majoré de 10 centimètres pour chaque mètre</w:t>
      </w:r>
      <w:r w:rsidR="006454FF">
        <w:t xml:space="preserve"> </w:t>
      </w:r>
      <w:r>
        <w:t>de profondeur de la construction principale excédant 10 mètres et de 25 centimètres pour</w:t>
      </w:r>
      <w:r w:rsidR="006454FF">
        <w:t xml:space="preserve"> </w:t>
      </w:r>
      <w:r>
        <w:t>le troisième étage plein.</w:t>
      </w:r>
    </w:p>
    <w:p w14:paraId="72AED708" w14:textId="77777777" w:rsidR="006454FF" w:rsidRDefault="002871CC" w:rsidP="002871CC">
      <w:pPr>
        <w:pStyle w:val="ListParagraph"/>
        <w:numPr>
          <w:ilvl w:val="0"/>
          <w:numId w:val="17"/>
        </w:numPr>
      </w:pPr>
      <w:r>
        <w:t>Les constructions en sous-sol devront respecter les reculs latéraux valables pour les</w:t>
      </w:r>
      <w:r w:rsidR="006454FF">
        <w:t xml:space="preserve"> </w:t>
      </w:r>
      <w:r>
        <w:t>constructions principales hors-sol, exceptions faites pour la construction des accès pour</w:t>
      </w:r>
      <w:r w:rsidR="006454FF">
        <w:t xml:space="preserve"> </w:t>
      </w:r>
      <w:r>
        <w:t>garage souterrain et la réalisation d’un niveau souterrain commun à plusieurs maisons.</w:t>
      </w:r>
    </w:p>
    <w:p w14:paraId="35D889ED" w14:textId="77777777" w:rsidR="006454FF" w:rsidRDefault="002871CC" w:rsidP="002871CC">
      <w:pPr>
        <w:pStyle w:val="ListParagraph"/>
        <w:numPr>
          <w:ilvl w:val="0"/>
          <w:numId w:val="17"/>
        </w:numPr>
      </w:pPr>
      <w:r>
        <w:t>La construction d’accès aux garages souterrains au niveau du recul latéral est autorisée sur</w:t>
      </w:r>
      <w:r w:rsidR="006454FF">
        <w:t xml:space="preserve"> </w:t>
      </w:r>
      <w:r>
        <w:t>un des deux côtés de la construction principale.</w:t>
      </w:r>
    </w:p>
    <w:p w14:paraId="4C32652C" w14:textId="77777777" w:rsidR="006454FF" w:rsidRDefault="002871CC" w:rsidP="002871CC">
      <w:pPr>
        <w:pStyle w:val="ListParagraph"/>
        <w:numPr>
          <w:ilvl w:val="0"/>
          <w:numId w:val="17"/>
        </w:numPr>
      </w:pPr>
      <w:r>
        <w:t>La distance à observer entre constructions principales sises en première position sur une</w:t>
      </w:r>
      <w:r w:rsidR="006454FF">
        <w:t xml:space="preserve"> </w:t>
      </w:r>
      <w:r>
        <w:t>même propriété est égale ou supérieure à 6 mètres. Elles peuvent néanmoins être reliées</w:t>
      </w:r>
      <w:r w:rsidR="006454FF">
        <w:t xml:space="preserve"> </w:t>
      </w:r>
      <w:r>
        <w:t>au niveau du rez-de-chaussée et en sous-sol.</w:t>
      </w:r>
    </w:p>
    <w:p w14:paraId="0D2CE4D7" w14:textId="77777777" w:rsidR="006454FF" w:rsidRDefault="002871CC" w:rsidP="002871CC">
      <w:pPr>
        <w:pStyle w:val="ListParagraph"/>
        <w:numPr>
          <w:ilvl w:val="0"/>
          <w:numId w:val="17"/>
        </w:numPr>
      </w:pPr>
      <w:r>
        <w:lastRenderedPageBreak/>
        <w:t>La Commune peut prescrire l’implantation d’une construction principale sur la limite latérale</w:t>
      </w:r>
      <w:r w:rsidR="006454FF">
        <w:t xml:space="preserve"> </w:t>
      </w:r>
      <w:r>
        <w:t>commune, si une ou les deux parcelles concernées présentent une largeur sur rue inférieure</w:t>
      </w:r>
      <w:r w:rsidR="006454FF">
        <w:t xml:space="preserve"> </w:t>
      </w:r>
      <w:r>
        <w:t>à 12m et ce dans le but de garantir qu’elles restent constructibles.</w:t>
      </w:r>
    </w:p>
    <w:p w14:paraId="1D71A7B2" w14:textId="28B7362E" w:rsidR="002871CC" w:rsidRDefault="002871CC" w:rsidP="00B01E03">
      <w:pPr>
        <w:pStyle w:val="ListParagraph"/>
        <w:numPr>
          <w:ilvl w:val="0"/>
          <w:numId w:val="17"/>
        </w:numPr>
      </w:pPr>
      <w:r>
        <w:t>Si le bon fonctionnement de l’entreprise agricole concernée l’exige et sous réserve de la</w:t>
      </w:r>
      <w:r w:rsidR="006454FF">
        <w:t xml:space="preserve"> </w:t>
      </w:r>
      <w:r>
        <w:t>sauvegarde des intérêts publics et privés, le bourgmestre peut autoriser localement une</w:t>
      </w:r>
      <w:r w:rsidR="006454FF">
        <w:t xml:space="preserve"> </w:t>
      </w:r>
      <w:r>
        <w:t>réduction des reculs latéraux, jusqu’à implanter la construction principale agricole sur la</w:t>
      </w:r>
      <w:r w:rsidR="006454FF">
        <w:t xml:space="preserve"> </w:t>
      </w:r>
      <w:r>
        <w:t>limite de propriété.</w:t>
      </w:r>
    </w:p>
    <w:p w14:paraId="2C3B11E3" w14:textId="599A4068" w:rsidR="002871CC" w:rsidRDefault="002871CC" w:rsidP="006454FF">
      <w:pPr>
        <w:pStyle w:val="ListParagraph"/>
        <w:numPr>
          <w:ilvl w:val="0"/>
          <w:numId w:val="15"/>
        </w:numPr>
      </w:pPr>
      <w:r>
        <w:t>Implantation par rapport à la limite séparative arrière:</w:t>
      </w:r>
    </w:p>
    <w:p w14:paraId="70071A4C" w14:textId="6523A42E" w:rsidR="002871CC" w:rsidRDefault="002871CC" w:rsidP="006454FF">
      <w:pPr>
        <w:ind w:left="720"/>
      </w:pPr>
      <w:r>
        <w:t>Toute construction principale hors-sol et en sous-sol doit respecter un recul arrière égal ou</w:t>
      </w:r>
      <w:r w:rsidR="006454FF">
        <w:t xml:space="preserve"> </w:t>
      </w:r>
      <w:r>
        <w:t>supérieur à 8 mètres.</w:t>
      </w:r>
    </w:p>
    <w:p w14:paraId="2736A6C2" w14:textId="17F3CFBC" w:rsidR="002871CC" w:rsidRDefault="002871CC" w:rsidP="006454FF">
      <w:pPr>
        <w:ind w:left="720"/>
      </w:pPr>
      <w:r>
        <w:t>Si le bon fonctionnement de l’entreprise agricole concernée l’exige et sous réserve de la</w:t>
      </w:r>
      <w:r w:rsidR="006454FF">
        <w:t xml:space="preserve"> </w:t>
      </w:r>
      <w:r>
        <w:t>sauvegarde des intérêts publics et privés, le bourgmestre peut autoriser localement une</w:t>
      </w:r>
      <w:r w:rsidR="006454FF">
        <w:t xml:space="preserve"> </w:t>
      </w:r>
      <w:r>
        <w:t>réduction du recul arrière, jusqu’à implanter la construction principale agricole sur la ou au</w:t>
      </w:r>
      <w:r w:rsidR="006454FF">
        <w:t>-</w:t>
      </w:r>
      <w:r>
        <w:t>dessus</w:t>
      </w:r>
      <w:r w:rsidR="006454FF">
        <w:t xml:space="preserve"> </w:t>
      </w:r>
      <w:r>
        <w:t>de la limite de propriété.</w:t>
      </w:r>
    </w:p>
    <w:p w14:paraId="76A82602" w14:textId="77777777" w:rsidR="002871CC" w:rsidRDefault="002871CC" w:rsidP="006454FF">
      <w:pPr>
        <w:pStyle w:val="Heading1"/>
      </w:pPr>
      <w:r>
        <w:t>Art. 12 Constructions principales en deuxième position</w:t>
      </w:r>
    </w:p>
    <w:p w14:paraId="0DDD0B2E" w14:textId="23D9482F" w:rsidR="002871CC" w:rsidRDefault="002871CC" w:rsidP="00AD4D82">
      <w:pPr>
        <w:pStyle w:val="ListParagraph"/>
        <w:numPr>
          <w:ilvl w:val="0"/>
          <w:numId w:val="18"/>
        </w:numPr>
      </w:pPr>
      <w:r>
        <w:t>Une construction principale peut-être implantée en deuxième position à une autre</w:t>
      </w:r>
      <w:r w:rsidR="006454FF">
        <w:t xml:space="preserve"> </w:t>
      </w:r>
      <w:r>
        <w:t>construction principale par rapport à la voie publique et ce sous conditions:</w:t>
      </w:r>
    </w:p>
    <w:p w14:paraId="7ED748E2" w14:textId="77777777" w:rsidR="006454FF" w:rsidRDefault="002871CC" w:rsidP="002871CC">
      <w:pPr>
        <w:pStyle w:val="ListParagraph"/>
        <w:numPr>
          <w:ilvl w:val="0"/>
          <w:numId w:val="19"/>
        </w:numPr>
      </w:pPr>
      <w:proofErr w:type="gramStart"/>
      <w:r>
        <w:t>que</w:t>
      </w:r>
      <w:proofErr w:type="gramEnd"/>
      <w:r>
        <w:t xml:space="preserve"> les constructions principales en première et deuxième position soient situées sur une</w:t>
      </w:r>
      <w:r w:rsidR="006454FF">
        <w:t xml:space="preserve"> </w:t>
      </w:r>
      <w:r>
        <w:t>même parcelle.</w:t>
      </w:r>
    </w:p>
    <w:p w14:paraId="3D28AD08" w14:textId="46912DB4" w:rsidR="002871CC" w:rsidRDefault="002871CC" w:rsidP="00AE0B15">
      <w:pPr>
        <w:pStyle w:val="ListParagraph"/>
        <w:numPr>
          <w:ilvl w:val="0"/>
          <w:numId w:val="19"/>
        </w:numPr>
      </w:pPr>
      <w:proofErr w:type="gramStart"/>
      <w:r>
        <w:t>que</w:t>
      </w:r>
      <w:proofErr w:type="gramEnd"/>
      <w:r>
        <w:t xml:space="preserve"> toutes les constructions principales situées sur la parcelle appartiennent au même</w:t>
      </w:r>
      <w:r w:rsidR="006454FF">
        <w:t xml:space="preserve"> </w:t>
      </w:r>
      <w:r>
        <w:t>propriétaire. La construction principale en deuxième position doit être subordonnée en</w:t>
      </w:r>
      <w:r w:rsidR="006454FF">
        <w:t xml:space="preserve"> </w:t>
      </w:r>
      <w:r>
        <w:t>surface construite brute à la construction en première position.</w:t>
      </w:r>
    </w:p>
    <w:p w14:paraId="5C82F015" w14:textId="12A7AC53" w:rsidR="002871CC" w:rsidRDefault="002871CC" w:rsidP="006454FF">
      <w:pPr>
        <w:pStyle w:val="ListParagraph"/>
        <w:numPr>
          <w:ilvl w:val="0"/>
          <w:numId w:val="18"/>
        </w:numPr>
      </w:pPr>
      <w:r>
        <w:t>Reculs et distances</w:t>
      </w:r>
    </w:p>
    <w:p w14:paraId="33FD99ED" w14:textId="0B1FCDD4" w:rsidR="002871CC" w:rsidRDefault="002871CC" w:rsidP="006454FF">
      <w:pPr>
        <w:ind w:left="720"/>
      </w:pPr>
      <w:r>
        <w:t>Les constructions en première et en deuxième position sont distantes entre-elles d’au</w:t>
      </w:r>
      <w:r w:rsidR="006454FF">
        <w:t xml:space="preserve"> </w:t>
      </w:r>
      <w:r>
        <w:t xml:space="preserve">minimum 16 mètres. Au niveau de la zone </w:t>
      </w:r>
      <w:proofErr w:type="spellStart"/>
      <w:r>
        <w:t>Mix-r</w:t>
      </w:r>
      <w:proofErr w:type="spellEnd"/>
      <w:r>
        <w:t>, les constructions principales en première</w:t>
      </w:r>
      <w:r w:rsidR="006454FF">
        <w:t xml:space="preserve"> </w:t>
      </w:r>
      <w:r>
        <w:t>et en deuxième postions peuvent être construites en contigu si le bon fonctionnement de</w:t>
      </w:r>
      <w:r w:rsidR="006454FF">
        <w:t xml:space="preserve"> </w:t>
      </w:r>
      <w:r>
        <w:t>l’exploitation agricole l’exige et qu'il n'en résulte aucune gêne anormale pour les propriétés</w:t>
      </w:r>
      <w:r w:rsidR="006454FF">
        <w:t xml:space="preserve"> </w:t>
      </w:r>
      <w:r>
        <w:t>voisines. L’implantation en ordre contigu sur la même parcelle peut être autorisée pour une</w:t>
      </w:r>
      <w:r w:rsidR="006454FF">
        <w:t xml:space="preserve"> </w:t>
      </w:r>
      <w:r>
        <w:t>construction principale artisanale, pour autant que le bon fonctionnement de l’entreprise</w:t>
      </w:r>
      <w:r w:rsidR="006454FF">
        <w:t xml:space="preserve"> </w:t>
      </w:r>
      <w:r>
        <w:t>artisanale concernée l’exige, que l’accès pour les services de secours soit garanti et sous</w:t>
      </w:r>
      <w:r w:rsidR="006454FF">
        <w:t xml:space="preserve"> </w:t>
      </w:r>
      <w:r>
        <w:t>réserve de la sauvegarde des intérêts publics et privés.</w:t>
      </w:r>
    </w:p>
    <w:p w14:paraId="4DB6AB19" w14:textId="3F6F1207" w:rsidR="002871CC" w:rsidRDefault="002871CC" w:rsidP="006454FF">
      <w:pPr>
        <w:ind w:left="720"/>
      </w:pPr>
      <w:r>
        <w:lastRenderedPageBreak/>
        <w:t>Les constructions principales en première et en deuxième position peuvent être reliées au</w:t>
      </w:r>
      <w:r w:rsidR="006454FF">
        <w:t xml:space="preserve"> </w:t>
      </w:r>
      <w:r>
        <w:t>niveau du rez-de-chaussée et en sous-sol par une construction d’une largeur de maximum</w:t>
      </w:r>
      <w:r w:rsidR="006454FF">
        <w:t xml:space="preserve"> </w:t>
      </w:r>
      <w:r>
        <w:t>3,5 mètres et respectant un recul latéral d’au moins 4 mètres.</w:t>
      </w:r>
    </w:p>
    <w:p w14:paraId="238D91B3" w14:textId="27CCF744" w:rsidR="002871CC" w:rsidRDefault="002871CC" w:rsidP="006454FF">
      <w:pPr>
        <w:ind w:left="720"/>
      </w:pPr>
      <w:r>
        <w:t>La construction principale située en deuxième position respecte un recul latéral de minimum</w:t>
      </w:r>
      <w:r w:rsidR="006454FF">
        <w:t xml:space="preserve"> </w:t>
      </w:r>
      <w:r>
        <w:t>4 mètres. Elle peut s’implanter sur la limite parcellaire commune s’il existe sur la parcelle</w:t>
      </w:r>
      <w:r w:rsidR="006454FF">
        <w:t xml:space="preserve"> </w:t>
      </w:r>
      <w:r>
        <w:t>adjacente des constructions principales situées en deuxième position et implantées sur la</w:t>
      </w:r>
      <w:r w:rsidR="006454FF">
        <w:t xml:space="preserve"> </w:t>
      </w:r>
      <w:r>
        <w:t>limite parcellaire commune et ce sur la longueur de la construction principale voisine.</w:t>
      </w:r>
    </w:p>
    <w:p w14:paraId="764B4E3C" w14:textId="37FD85E9" w:rsidR="002871CC" w:rsidRDefault="002871CC" w:rsidP="006454FF">
      <w:pPr>
        <w:ind w:left="720"/>
      </w:pPr>
      <w:r>
        <w:t>Les constructions en deuxième position doivent respecter le recul arrière valable pour</w:t>
      </w:r>
      <w:r w:rsidR="006454FF">
        <w:t xml:space="preserve"> </w:t>
      </w:r>
      <w:r>
        <w:t>constructions principales.</w:t>
      </w:r>
    </w:p>
    <w:p w14:paraId="420553B3" w14:textId="6EC69A1C" w:rsidR="002871CC" w:rsidRDefault="002871CC" w:rsidP="006454FF">
      <w:pPr>
        <w:pStyle w:val="ListParagraph"/>
        <w:numPr>
          <w:ilvl w:val="0"/>
          <w:numId w:val="18"/>
        </w:numPr>
      </w:pPr>
      <w:r>
        <w:t>Hauteurs et nombre de niveaux</w:t>
      </w:r>
    </w:p>
    <w:p w14:paraId="66FD08AD" w14:textId="45927FAF" w:rsidR="002871CC" w:rsidRDefault="002871CC" w:rsidP="006454FF">
      <w:pPr>
        <w:ind w:left="720"/>
      </w:pPr>
      <w:r>
        <w:t>Les hauteurs de construction pour les constructions principales situées en deuxième position</w:t>
      </w:r>
      <w:r w:rsidR="006454FF">
        <w:t xml:space="preserve"> </w:t>
      </w:r>
      <w:r>
        <w:t>par rapport à la voirie, sont mesurées à partir du niveau du sol naturel au milieu de la façade</w:t>
      </w:r>
      <w:r w:rsidR="006454FF">
        <w:t xml:space="preserve"> </w:t>
      </w:r>
      <w:r>
        <w:t>principale comportant l’entrée de la construction.</w:t>
      </w:r>
    </w:p>
    <w:p w14:paraId="38221DDE" w14:textId="2CAD92B1" w:rsidR="002871CC" w:rsidRDefault="002871CC" w:rsidP="006454FF">
      <w:pPr>
        <w:ind w:left="720"/>
      </w:pPr>
      <w:r>
        <w:t>Les constructions principales an deuxième position auront une hauteur maximale à la</w:t>
      </w:r>
      <w:r w:rsidR="006454FF">
        <w:t xml:space="preserve"> </w:t>
      </w:r>
      <w:r>
        <w:t>corniche de 3,5 mètres et au faîtage de 6,5 mètres, sauf pour les constructions principales</w:t>
      </w:r>
      <w:r w:rsidR="006454FF">
        <w:t xml:space="preserve"> </w:t>
      </w:r>
      <w:r>
        <w:t>agricoles qui sont soumises aux hauteurs de constructions valables pour constructions en</w:t>
      </w:r>
      <w:r w:rsidR="006454FF">
        <w:t xml:space="preserve"> </w:t>
      </w:r>
      <w:r>
        <w:t>première position.</w:t>
      </w:r>
    </w:p>
    <w:p w14:paraId="0FE0AE3C" w14:textId="77777777" w:rsidR="002871CC" w:rsidRDefault="002871CC" w:rsidP="006454FF">
      <w:pPr>
        <w:ind w:left="720"/>
      </w:pPr>
      <w:r>
        <w:t>La construction en deuxième position ne peut pas présenter de niveau souterrain.</w:t>
      </w:r>
    </w:p>
    <w:p w14:paraId="54E3912D" w14:textId="729B9355" w:rsidR="002871CC" w:rsidRDefault="002871CC" w:rsidP="006454FF">
      <w:pPr>
        <w:pStyle w:val="Heading1"/>
      </w:pPr>
      <w:r>
        <w:t>Art. 13 Constructions principales servant à l'exercice d'une activité professionnelle ou de</w:t>
      </w:r>
      <w:r w:rsidR="006454FF">
        <w:t xml:space="preserve"> </w:t>
      </w:r>
      <w:r>
        <w:t>loisirs</w:t>
      </w:r>
    </w:p>
    <w:p w14:paraId="2615815B" w14:textId="0C74E011" w:rsidR="002871CC" w:rsidRDefault="002871CC" w:rsidP="002871CC">
      <w:r>
        <w:t>Une seule construction principale servant à l'exercice d’une activité professionnelle ou de loisirs peut</w:t>
      </w:r>
      <w:r w:rsidR="006454FF">
        <w:t xml:space="preserve"> </w:t>
      </w:r>
      <w:r>
        <w:t>être érigée en rapport avec une maison unifamiliale. Elle doit appartenir au, et être exploitée par le</w:t>
      </w:r>
      <w:r w:rsidR="006454FF">
        <w:t xml:space="preserve"> </w:t>
      </w:r>
      <w:r>
        <w:t>propriétaire de la maison unifamiliale. Le projet doit s’insérer de manière satisfaisante au niveau du</w:t>
      </w:r>
      <w:r w:rsidR="006454FF">
        <w:t xml:space="preserve"> </w:t>
      </w:r>
      <w:r>
        <w:t>tissu urbain environnant.</w:t>
      </w:r>
    </w:p>
    <w:p w14:paraId="0563D78B" w14:textId="0071FB01" w:rsidR="002871CC" w:rsidRDefault="002871CC" w:rsidP="002871CC">
      <w:r>
        <w:t>La surface construite brute du rez-de-chaussée de la construction principale servant à l'exercice d’une</w:t>
      </w:r>
      <w:r w:rsidR="006454FF">
        <w:t xml:space="preserve"> </w:t>
      </w:r>
      <w:r>
        <w:t>activité professionnelle ou de loisirs doit être subordonnée à celle du rez-de-chaussée de la maison</w:t>
      </w:r>
      <w:r w:rsidR="006454FF">
        <w:t xml:space="preserve"> </w:t>
      </w:r>
      <w:r>
        <w:t>unifamiliale, sans dépasser 100 mètres-carrés et 80 % de la surface construite brute destinée à</w:t>
      </w:r>
      <w:r w:rsidR="006454FF">
        <w:t xml:space="preserve"> </w:t>
      </w:r>
      <w:r>
        <w:t>l’habitation.</w:t>
      </w:r>
    </w:p>
    <w:p w14:paraId="479BC287" w14:textId="2FB6F8BB" w:rsidR="006454FF" w:rsidRDefault="006454FF" w:rsidP="006454FF">
      <w:pPr>
        <w:pStyle w:val="Heading1"/>
      </w:pPr>
      <w:r>
        <w:t>Art. 14 Les bâtiments agricoles: constructions principales et dépendances</w:t>
      </w:r>
    </w:p>
    <w:p w14:paraId="13707F12" w14:textId="1296E764" w:rsidR="006454FF" w:rsidRDefault="006454FF" w:rsidP="006454FF">
      <w:r>
        <w:t>Les bâtiments agricoles doivent être érigés en rapport avec une exploitation agricole existante. Ils</w:t>
      </w:r>
      <w:r>
        <w:t xml:space="preserve"> </w:t>
      </w:r>
      <w:r>
        <w:t>doivent appartenir au -, et être exploités par le propriétaire de l’exploitation agricole. Le projet doit</w:t>
      </w:r>
      <w:r>
        <w:t xml:space="preserve"> </w:t>
      </w:r>
      <w:r>
        <w:t>s’insérer au niveau du tissu urbain environnant.</w:t>
      </w:r>
    </w:p>
    <w:p w14:paraId="4A6495B0" w14:textId="6D31805D" w:rsidR="006454FF" w:rsidRDefault="006454FF" w:rsidP="006454FF">
      <w:r>
        <w:lastRenderedPageBreak/>
        <w:t>Les dimensions au sol d’un bâtiment agricole correspondent à une base rectangulaire de maximum</w:t>
      </w:r>
      <w:r>
        <w:t xml:space="preserve"> </w:t>
      </w:r>
      <w:r>
        <w:t>20 mètres par 40 mètres de dimensions au sol.</w:t>
      </w:r>
    </w:p>
    <w:p w14:paraId="1E988FF6" w14:textId="38B0E73B" w:rsidR="006454FF" w:rsidRDefault="006454FF" w:rsidP="006454FF">
      <w:r>
        <w:t>Les silos existants peuvent être rénovés sans augmentation en hauteur. Les nouveaux silos doivent</w:t>
      </w:r>
      <w:r>
        <w:t xml:space="preserve"> </w:t>
      </w:r>
      <w:r>
        <w:t>être érigés en dehors de la délimitation du PAP-QE.</w:t>
      </w:r>
    </w:p>
    <w:p w14:paraId="5DD79A18" w14:textId="75A38C29" w:rsidR="006454FF" w:rsidRDefault="006454FF" w:rsidP="006454FF">
      <w:pPr>
        <w:pStyle w:val="Heading1"/>
      </w:pPr>
      <w:r>
        <w:t>Art. 15 Les bâtiments artisanaux: Constructions principales et dépendances</w:t>
      </w:r>
    </w:p>
    <w:p w14:paraId="4AECB6A2" w14:textId="3857A13E" w:rsidR="006454FF" w:rsidRDefault="006454FF" w:rsidP="006454FF">
      <w:r>
        <w:t>Au niveau des zones d’habitations et des zones mixtes, la réalisation de bâtiments artisanaux est</w:t>
      </w:r>
      <w:r>
        <w:t xml:space="preserve"> </w:t>
      </w:r>
      <w:r>
        <w:t>autorisée en rapport direct avec une entreprise artisanale. Ils doivent appartenir au - et être exploitée</w:t>
      </w:r>
      <w:r>
        <w:t xml:space="preserve"> </w:t>
      </w:r>
      <w:r>
        <w:t>par le propriétaire de l’entreprise artisanale. Le projet doit s’insérer au niveau du tissu urbain</w:t>
      </w:r>
      <w:r>
        <w:t xml:space="preserve"> </w:t>
      </w:r>
      <w:r>
        <w:t>environnant.</w:t>
      </w:r>
    </w:p>
    <w:p w14:paraId="7627432F" w14:textId="77777777" w:rsidR="006454FF" w:rsidRDefault="006454FF" w:rsidP="006454FF">
      <w:r>
        <w:t>Les places de stationnement relatives doivent être prévues au niveau du terrain privé.</w:t>
      </w:r>
    </w:p>
    <w:p w14:paraId="277D4470" w14:textId="4930DE12" w:rsidR="006454FF" w:rsidRDefault="006454FF" w:rsidP="006454FF">
      <w:r>
        <w:t>Les dimensions au sol d’une nouvelle construction principale artisanale correspondent à une base</w:t>
      </w:r>
      <w:r>
        <w:t xml:space="preserve"> </w:t>
      </w:r>
      <w:r>
        <w:t>rectangulaire de maximum 15 mètres par 20 mètres de dimensions au sol.</w:t>
      </w:r>
    </w:p>
    <w:p w14:paraId="0BB748F8" w14:textId="77777777" w:rsidR="006454FF" w:rsidRDefault="006454FF" w:rsidP="006454FF">
      <w:pPr>
        <w:pStyle w:val="Heading1"/>
      </w:pPr>
      <w:r>
        <w:t>Art. 16 Dérogations</w:t>
      </w:r>
    </w:p>
    <w:p w14:paraId="1D9949AA" w14:textId="69E1FB06" w:rsidR="006454FF" w:rsidRDefault="006454FF" w:rsidP="006454FF">
      <w:r>
        <w:t>Des exceptions peuvent être accordées par le Bourgmestre aux dispositions ci-dessus concernant les</w:t>
      </w:r>
      <w:r>
        <w:t xml:space="preserve"> </w:t>
      </w:r>
      <w:r>
        <w:t>reculs et les distances des constructions principales:</w:t>
      </w:r>
    </w:p>
    <w:p w14:paraId="068C234D" w14:textId="77777777" w:rsidR="006454FF" w:rsidRDefault="006454FF" w:rsidP="006454FF">
      <w:pPr>
        <w:pStyle w:val="ListParagraph"/>
        <w:numPr>
          <w:ilvl w:val="0"/>
          <w:numId w:val="20"/>
        </w:numPr>
      </w:pPr>
      <w:r>
        <w:t xml:space="preserve">Dans le cas de l’assainissement énergétique par </w:t>
      </w:r>
      <w:proofErr w:type="gramStart"/>
      <w:r>
        <w:t>une isolation extérieur</w:t>
      </w:r>
      <w:proofErr w:type="gramEnd"/>
      <w:r>
        <w:t xml:space="preserve"> de la façade d’une</w:t>
      </w:r>
      <w:r>
        <w:t xml:space="preserve"> </w:t>
      </w:r>
      <w:r>
        <w:t>construction principale existante.</w:t>
      </w:r>
    </w:p>
    <w:p w14:paraId="1F45F9B9" w14:textId="77777777" w:rsidR="006454FF" w:rsidRDefault="006454FF" w:rsidP="006454FF">
      <w:pPr>
        <w:pStyle w:val="ListParagraph"/>
        <w:numPr>
          <w:ilvl w:val="0"/>
          <w:numId w:val="20"/>
        </w:numPr>
      </w:pPr>
      <w:r>
        <w:t>Dans le cas de la transformation ou reconstruction d’un gabarit à conserver d’une</w:t>
      </w:r>
      <w:r>
        <w:t xml:space="preserve"> </w:t>
      </w:r>
      <w:r>
        <w:t>construction existante, lorsque la configuration des lieux rendrait impossible le respect des</w:t>
      </w:r>
      <w:r>
        <w:t xml:space="preserve"> </w:t>
      </w:r>
      <w:r>
        <w:t>prescriptions dimensionnelles.</w:t>
      </w:r>
    </w:p>
    <w:p w14:paraId="0C3803A2" w14:textId="28BF2311" w:rsidR="006454FF" w:rsidRDefault="006454FF" w:rsidP="006454FF">
      <w:pPr>
        <w:pStyle w:val="ListParagraph"/>
        <w:numPr>
          <w:ilvl w:val="0"/>
          <w:numId w:val="20"/>
        </w:numPr>
      </w:pPr>
      <w:r>
        <w:t>Pour l’implantation d’une maison à caractère unifamilial sur une parcelle non encore bâtie,</w:t>
      </w:r>
      <w:r>
        <w:t xml:space="preserve"> </w:t>
      </w:r>
      <w:r>
        <w:t>ayant les qualités d’une place à bâtir mais ne permettant pas le respect, soit de la largeur</w:t>
      </w:r>
      <w:r>
        <w:t xml:space="preserve"> </w:t>
      </w:r>
      <w:r>
        <w:t>minimale et d’une profondeur suffisante des constructions principales hors sol et sous-sol,</w:t>
      </w:r>
      <w:r>
        <w:t xml:space="preserve"> </w:t>
      </w:r>
      <w:r>
        <w:t>soit des reculs prescrits y relatifs. Le Bourgmestre peut autoriser la réduction de la marge de</w:t>
      </w:r>
      <w:r>
        <w:t xml:space="preserve"> </w:t>
      </w:r>
      <w:r>
        <w:t>reculement latéral à minimum 1,9 mètres et celle de reculement arrière à minimum 5 mètres</w:t>
      </w:r>
    </w:p>
    <w:p w14:paraId="4B5316BF" w14:textId="5C4633A4" w:rsidR="006454FF" w:rsidRDefault="006454FF" w:rsidP="006454FF">
      <w:pPr>
        <w:pStyle w:val="Heading1"/>
      </w:pPr>
      <w:r>
        <w:t>Art. 17 Les constructions annexes</w:t>
      </w:r>
    </w:p>
    <w:p w14:paraId="3E7F9EB4" w14:textId="53201F26" w:rsidR="006454FF" w:rsidRDefault="006454FF" w:rsidP="006454FF">
      <w:r>
        <w:t>Toute construction de type véranda, verrière, terrasse couverte, terrasse sur remblai ou similaire est</w:t>
      </w:r>
      <w:r>
        <w:t xml:space="preserve"> </w:t>
      </w:r>
      <w:r>
        <w:t>considérée comme construction annexe et sera accolée à la façade arrière ou latérale de la</w:t>
      </w:r>
      <w:r>
        <w:t xml:space="preserve"> </w:t>
      </w:r>
      <w:r>
        <w:t>construction principale. Elle devra respecter la largeur et profondeur de construction, ainsi que les</w:t>
      </w:r>
      <w:r>
        <w:t xml:space="preserve"> </w:t>
      </w:r>
      <w:r>
        <w:t>reculs latéraux et arrière admissibles pour constructions principales. Dans le cas de construction</w:t>
      </w:r>
      <w:r>
        <w:t xml:space="preserve"> </w:t>
      </w:r>
      <w:r>
        <w:t>jumelée ou en ordre contigu, le recul latéral prescrit doit être respecté ou les murs mitoyens être à</w:t>
      </w:r>
      <w:r>
        <w:t xml:space="preserve"> </w:t>
      </w:r>
      <w:r>
        <w:t>exécuter en dur.</w:t>
      </w:r>
    </w:p>
    <w:p w14:paraId="15621F7A" w14:textId="7723B583" w:rsidR="006454FF" w:rsidRDefault="006454FF" w:rsidP="006454FF">
      <w:r>
        <w:lastRenderedPageBreak/>
        <w:t>En cas de construction sur un terrain naturel plat, le développement est limité au niveau du terrain</w:t>
      </w:r>
      <w:r>
        <w:t xml:space="preserve"> </w:t>
      </w:r>
      <w:r>
        <w:t>naturel ou du rez-de-chaussée. En cas de construction sur un terrain naturel en pente descendant à</w:t>
      </w:r>
      <w:r>
        <w:t xml:space="preserve"> </w:t>
      </w:r>
      <w:r>
        <w:t>la voirie, le développement est limité au niveau du rez-de-chaussée. En cas de construction sur un</w:t>
      </w:r>
      <w:r>
        <w:t xml:space="preserve"> </w:t>
      </w:r>
      <w:r>
        <w:t>terrain naturel en pente ascendant à la voirie le développement est limité au niveau du terrain naturel.</w:t>
      </w:r>
    </w:p>
    <w:p w14:paraId="59C6E802" w14:textId="4217C497" w:rsidR="006454FF" w:rsidRDefault="006454FF" w:rsidP="006454FF">
      <w:r>
        <w:t>La hauteur maximale de construction est 3,50 mètres. Elle est mesurée à partir de la face supérieure</w:t>
      </w:r>
      <w:r>
        <w:t xml:space="preserve"> </w:t>
      </w:r>
      <w:r>
        <w:t>de la dalle du niveau auquel l’annexe se rapporte ou, pour le cas de la construction sur un terrain</w:t>
      </w:r>
      <w:r>
        <w:t xml:space="preserve"> </w:t>
      </w:r>
      <w:r>
        <w:t>naturel en pente ascendant à la voirie, à partir du terrain naturel et au point le plus haut. Les toitures</w:t>
      </w:r>
      <w:r>
        <w:t xml:space="preserve"> </w:t>
      </w:r>
      <w:r>
        <w:t>des annexes peuvent servir de terrasses et sont soumises aux prescriptions des terrasses d’un étage</w:t>
      </w:r>
      <w:r>
        <w:t xml:space="preserve"> </w:t>
      </w:r>
      <w:r>
        <w:t>en retrait.</w:t>
      </w:r>
    </w:p>
    <w:p w14:paraId="5587EE3A" w14:textId="65926AB5" w:rsidR="006454FF" w:rsidRDefault="006454FF" w:rsidP="006454FF">
      <w:r>
        <w:t>La profondeur de construction d’une annexe est mesurée perpendiculairement à la façade à laquelle</w:t>
      </w:r>
      <w:r>
        <w:t xml:space="preserve"> </w:t>
      </w:r>
      <w:r>
        <w:t>elle se rapporte et est de maximum 5 mètres.</w:t>
      </w:r>
    </w:p>
    <w:p w14:paraId="3CF0EE26" w14:textId="592081FF" w:rsidR="006454FF" w:rsidRDefault="006454FF" w:rsidP="006454FF">
      <w:r>
        <w:t>Au moins deux tiers de chacune des parois extérieures de la véranda seront translucides ou</w:t>
      </w:r>
      <w:r>
        <w:t xml:space="preserve"> </w:t>
      </w:r>
      <w:r>
        <w:t>transparentes. Les toitures peuvent être opaques.</w:t>
      </w:r>
    </w:p>
    <w:p w14:paraId="01ECF3C9" w14:textId="77777777" w:rsidR="006454FF" w:rsidRDefault="006454FF" w:rsidP="006454FF">
      <w:r>
        <w:t>Une seule construction annexe est autorisée par construction principale.</w:t>
      </w:r>
    </w:p>
    <w:p w14:paraId="7A512089" w14:textId="4F28012E" w:rsidR="006454FF" w:rsidRDefault="006454FF" w:rsidP="006454FF">
      <w:pPr>
        <w:pStyle w:val="Heading1"/>
      </w:pPr>
      <w:r>
        <w:t>Art. 18 Dépendances: garages, car-ports, abris de jardins et autres</w:t>
      </w:r>
    </w:p>
    <w:p w14:paraId="209261D2" w14:textId="70EF41C4" w:rsidR="006454FF" w:rsidRDefault="006454FF" w:rsidP="007B6DEE">
      <w:pPr>
        <w:pStyle w:val="ListParagraph"/>
        <w:numPr>
          <w:ilvl w:val="0"/>
          <w:numId w:val="21"/>
        </w:numPr>
      </w:pPr>
      <w:r>
        <w:t>« </w:t>
      </w:r>
      <w:r>
        <w:t>On entend par dépendance tout volume accolé ou isolé, ni destiné au séjour prolongé de</w:t>
      </w:r>
      <w:r>
        <w:t xml:space="preserve"> </w:t>
      </w:r>
      <w:r>
        <w:t>personnes, ni à une activité professionnelle comme notamment les abris de jardin, les</w:t>
      </w:r>
      <w:r>
        <w:t xml:space="preserve"> </w:t>
      </w:r>
      <w:r>
        <w:t>garages et les car-ports.</w:t>
      </w:r>
      <w:r>
        <w:t> »</w:t>
      </w:r>
      <w:r>
        <w:t xml:space="preserve"> Les dépendances citées au niveau du présent article ne peuvent</w:t>
      </w:r>
      <w:r>
        <w:t xml:space="preserve"> </w:t>
      </w:r>
      <w:r>
        <w:t>en aucun cas servir à l'habitation, à l'exercice d'une activité professionnelle, à l'exploitation</w:t>
      </w:r>
      <w:r>
        <w:t xml:space="preserve"> </w:t>
      </w:r>
      <w:r>
        <w:t>agricole ou à un élevage d'animaux pour des besoins professionnels. Ils ne peuvent pas</w:t>
      </w:r>
      <w:r>
        <w:t xml:space="preserve"> </w:t>
      </w:r>
      <w:r>
        <w:t>présenter de niveau souterrain.</w:t>
      </w:r>
    </w:p>
    <w:p w14:paraId="2ABF73C8" w14:textId="14924D8D" w:rsidR="006454FF" w:rsidRDefault="006454FF" w:rsidP="006454FF">
      <w:pPr>
        <w:pStyle w:val="ListParagraph"/>
        <w:numPr>
          <w:ilvl w:val="0"/>
          <w:numId w:val="21"/>
        </w:numPr>
      </w:pPr>
      <w:r>
        <w:t>Abris de jardins et autres</w:t>
      </w:r>
      <w:r>
        <w:t>:</w:t>
      </w:r>
    </w:p>
    <w:p w14:paraId="0D704DB5" w14:textId="4F37FA68" w:rsidR="006454FF" w:rsidRDefault="006454FF" w:rsidP="006454FF">
      <w:pPr>
        <w:ind w:left="720"/>
      </w:pPr>
      <w:r>
        <w:t>La hauteur au faîtage d’une dépendance ne dépasse pas 2,70 mètres. Les dépendances</w:t>
      </w:r>
      <w:r>
        <w:t xml:space="preserve"> </w:t>
      </w:r>
      <w:r>
        <w:t>doivent être agencées entre elles de manière à former un ensemble harmonieux. Sans</w:t>
      </w:r>
      <w:r>
        <w:t xml:space="preserve"> </w:t>
      </w:r>
      <w:r>
        <w:t>préjudice d'autres dispositions légales en la matière, une dépendance par parcelle peut être</w:t>
      </w:r>
      <w:r>
        <w:t xml:space="preserve"> </w:t>
      </w:r>
      <w:r>
        <w:t>accordée pour les constructions suivantes, sans que le nombre au total de dépendances par</w:t>
      </w:r>
      <w:r>
        <w:t xml:space="preserve"> parcelle dépasse 3 unités</w:t>
      </w:r>
      <w:r>
        <w:t>:</w:t>
      </w:r>
    </w:p>
    <w:p w14:paraId="74E8C24F" w14:textId="77777777" w:rsidR="006454FF" w:rsidRDefault="006454FF" w:rsidP="006454FF">
      <w:pPr>
        <w:pStyle w:val="ListParagraph"/>
        <w:numPr>
          <w:ilvl w:val="0"/>
          <w:numId w:val="22"/>
        </w:numPr>
      </w:pPr>
      <w:proofErr w:type="gramStart"/>
      <w:r>
        <w:t>les</w:t>
      </w:r>
      <w:proofErr w:type="gramEnd"/>
      <w:r>
        <w:t xml:space="preserve"> abris de jardins et annexes pour outils, pour autant que leur superficie n’excède pas 12</w:t>
      </w:r>
      <w:r>
        <w:t xml:space="preserve"> </w:t>
      </w:r>
      <w:r>
        <w:t>mètres-carrés,</w:t>
      </w:r>
    </w:p>
    <w:p w14:paraId="7AE772C5" w14:textId="77777777" w:rsidR="006454FF" w:rsidRDefault="006454FF" w:rsidP="006454FF">
      <w:pPr>
        <w:pStyle w:val="ListParagraph"/>
        <w:numPr>
          <w:ilvl w:val="0"/>
          <w:numId w:val="22"/>
        </w:numPr>
      </w:pPr>
      <w:proofErr w:type="gramStart"/>
      <w:r>
        <w:t>les</w:t>
      </w:r>
      <w:proofErr w:type="gramEnd"/>
      <w:r>
        <w:t xml:space="preserve"> petites serres érigées en dehors de toute fin commerciale et professionnelle, pour autant</w:t>
      </w:r>
      <w:r>
        <w:t xml:space="preserve"> </w:t>
      </w:r>
      <w:r>
        <w:t>que leur superficie n’excède pas 10 mètres-carrés et que ne soit édifiée qu'une petite serre</w:t>
      </w:r>
      <w:r>
        <w:t xml:space="preserve"> </w:t>
      </w:r>
      <w:r>
        <w:t>par parcelle,</w:t>
      </w:r>
    </w:p>
    <w:p w14:paraId="6A451DC4" w14:textId="77777777" w:rsidR="006454FF" w:rsidRDefault="006454FF" w:rsidP="006454FF">
      <w:pPr>
        <w:pStyle w:val="ListParagraph"/>
        <w:numPr>
          <w:ilvl w:val="0"/>
          <w:numId w:val="22"/>
        </w:numPr>
      </w:pPr>
      <w:proofErr w:type="gramStart"/>
      <w:r>
        <w:t>les</w:t>
      </w:r>
      <w:proofErr w:type="gramEnd"/>
      <w:r>
        <w:t xml:space="preserve"> constructions destinées à abriter des animaux, tel les poulaillers, les volières; les</w:t>
      </w:r>
      <w:r>
        <w:t xml:space="preserve"> </w:t>
      </w:r>
      <w:r>
        <w:t>colombiers et autres, pour autant que leur superficie n'excède pas 10 mètres-carrés,</w:t>
      </w:r>
    </w:p>
    <w:p w14:paraId="3A1521F7" w14:textId="77777777" w:rsidR="006454FF" w:rsidRDefault="006454FF" w:rsidP="006454FF">
      <w:pPr>
        <w:pStyle w:val="ListParagraph"/>
        <w:numPr>
          <w:ilvl w:val="0"/>
          <w:numId w:val="22"/>
        </w:numPr>
      </w:pPr>
      <w:proofErr w:type="gramStart"/>
      <w:r>
        <w:lastRenderedPageBreak/>
        <w:t>les</w:t>
      </w:r>
      <w:proofErr w:type="gramEnd"/>
      <w:r>
        <w:t xml:space="preserve"> saunas et jacuzzis, pour autant que leur superficie n’excède pas 12 mètres-carrés,</w:t>
      </w:r>
    </w:p>
    <w:p w14:paraId="73B6689B" w14:textId="4BB93BFC" w:rsidR="006454FF" w:rsidRDefault="006454FF" w:rsidP="002B78C4">
      <w:pPr>
        <w:pStyle w:val="ListParagraph"/>
        <w:numPr>
          <w:ilvl w:val="0"/>
          <w:numId w:val="22"/>
        </w:numPr>
      </w:pPr>
      <w:proofErr w:type="gramStart"/>
      <w:r>
        <w:t>les</w:t>
      </w:r>
      <w:proofErr w:type="gramEnd"/>
      <w:r>
        <w:t xml:space="preserve"> barbecues, fours à pizzas et cuisines en plein-air pour autant que leur superficie</w:t>
      </w:r>
      <w:r>
        <w:t xml:space="preserve"> </w:t>
      </w:r>
      <w:r>
        <w:t>n'excède pas 2,5 mètres de longueur et 1 mètre de largeur et la hauteur d´une cheminée</w:t>
      </w:r>
      <w:r>
        <w:t xml:space="preserve"> </w:t>
      </w:r>
      <w:r>
        <w:t>ne dépasse pas 2,7 mètres.</w:t>
      </w:r>
    </w:p>
    <w:p w14:paraId="5C46CB30" w14:textId="6EA63FC3" w:rsidR="006454FF" w:rsidRDefault="006454FF" w:rsidP="006454FF">
      <w:pPr>
        <w:ind w:left="720"/>
      </w:pPr>
      <w:r>
        <w:t>Les dépendances citées au présent paragraphe doivent être édifiées à l'arrière de la</w:t>
      </w:r>
      <w:r>
        <w:t xml:space="preserve"> </w:t>
      </w:r>
      <w:r>
        <w:t>construction principale et être séparées d'elle d’au moins 3 mètres. Elles sont à édifier à plus</w:t>
      </w:r>
      <w:r>
        <w:t xml:space="preserve"> </w:t>
      </w:r>
      <w:r>
        <w:t>de 1 mètre des propriétés voisines.</w:t>
      </w:r>
    </w:p>
    <w:p w14:paraId="631E914A" w14:textId="72DD1B41" w:rsidR="006454FF" w:rsidRDefault="006454FF" w:rsidP="006454FF">
      <w:pPr>
        <w:pStyle w:val="ListParagraph"/>
        <w:numPr>
          <w:ilvl w:val="0"/>
          <w:numId w:val="21"/>
        </w:numPr>
      </w:pPr>
      <w:r>
        <w:t>Garages et car-ports</w:t>
      </w:r>
      <w:r>
        <w:t>:</w:t>
      </w:r>
    </w:p>
    <w:p w14:paraId="7490C40F" w14:textId="3E090CF0" w:rsidR="006454FF" w:rsidRDefault="006454FF" w:rsidP="006454FF">
      <w:pPr>
        <w:ind w:left="720"/>
      </w:pPr>
      <w:r>
        <w:t>Car-port</w:t>
      </w:r>
      <w:r>
        <w:t xml:space="preserve">: </w:t>
      </w:r>
      <w:r>
        <w:t>« </w:t>
      </w:r>
      <w:r>
        <w:t>On entend par car-port toute construction ouverte sur au moins deux côtés,</w:t>
      </w:r>
      <w:r>
        <w:t xml:space="preserve"> </w:t>
      </w:r>
      <w:r>
        <w:t>réalisée en principe en matériaux légers et servant à abriter un ou plusieurs véhicules en</w:t>
      </w:r>
      <w:r>
        <w:t xml:space="preserve"> </w:t>
      </w:r>
      <w:r>
        <w:t>stationnement.</w:t>
      </w:r>
      <w:r>
        <w:t> »</w:t>
      </w:r>
    </w:p>
    <w:p w14:paraId="67C22430" w14:textId="5C474D25" w:rsidR="006454FF" w:rsidRDefault="006454FF" w:rsidP="006454FF">
      <w:pPr>
        <w:ind w:left="720"/>
      </w:pPr>
      <w:r>
        <w:t>Du point de vue architectural, les garages et car-ports jumelés ou regroupés devront former</w:t>
      </w:r>
      <w:r>
        <w:t xml:space="preserve"> </w:t>
      </w:r>
      <w:r>
        <w:t>un ensemble harmonieux: l’alignement, la hauteur à la corniche, la pente de la toiture, le jeu</w:t>
      </w:r>
      <w:r>
        <w:t xml:space="preserve"> </w:t>
      </w:r>
      <w:r>
        <w:t>entre les pleins et les vides ainsi que la structure de façade devront être respectés.</w:t>
      </w:r>
    </w:p>
    <w:p w14:paraId="18591B0A" w14:textId="3AB7B25E" w:rsidR="006454FF" w:rsidRDefault="006454FF" w:rsidP="006454FF">
      <w:pPr>
        <w:ind w:left="720"/>
      </w:pPr>
      <w:r>
        <w:t>Les toitures des garages et car-ports peuvent servir de terrasses, si les reculs aux limites de</w:t>
      </w:r>
      <w:r>
        <w:t xml:space="preserve"> </w:t>
      </w:r>
      <w:r>
        <w:t>parcelles et la profondeur de construction prescrits sont respectés.</w:t>
      </w:r>
    </w:p>
    <w:p w14:paraId="663604EF" w14:textId="4BD50879" w:rsidR="006454FF" w:rsidRDefault="006454FF" w:rsidP="006454FF">
      <w:pPr>
        <w:ind w:left="720"/>
      </w:pPr>
      <w:r>
        <w:t>La hauteur à la corniche des garages et car-ports ne dépasse pas 3 mètres et celle au faîtage</w:t>
      </w:r>
      <w:r>
        <w:t xml:space="preserve"> </w:t>
      </w:r>
      <w:r>
        <w:t>5 mètres. Les hauteurs sont mesurées à partir du niveau du terrain naturel et au milieu de la</w:t>
      </w:r>
      <w:r>
        <w:t xml:space="preserve"> </w:t>
      </w:r>
      <w:r>
        <w:t>façade principale comportant l’entrée de la construction.</w:t>
      </w:r>
    </w:p>
    <w:p w14:paraId="555E4F8C" w14:textId="5A88DBDF" w:rsidR="006454FF" w:rsidRDefault="006454FF" w:rsidP="006454FF">
      <w:pPr>
        <w:ind w:left="720"/>
      </w:pPr>
      <w:r>
        <w:t>La construction de garages et car-ports peut être refusée pour cause de terrain en pente</w:t>
      </w:r>
      <w:r>
        <w:t xml:space="preserve"> </w:t>
      </w:r>
      <w:r>
        <w:t>supérieure à 15%.</w:t>
      </w:r>
    </w:p>
    <w:p w14:paraId="4D88282A" w14:textId="68631F80" w:rsidR="006454FF" w:rsidRDefault="006454FF" w:rsidP="006454FF">
      <w:pPr>
        <w:ind w:left="720"/>
      </w:pPr>
      <w:r>
        <w:t>Les travaux de remblais et déblais en relation avec la construction de garages ou car-ports</w:t>
      </w:r>
      <w:r>
        <w:t xml:space="preserve"> </w:t>
      </w:r>
      <w:r>
        <w:t>ne peuvent pas dépasser 1 mètre, mesuré à partir du terrain naturel et au milieu de la</w:t>
      </w:r>
      <w:r>
        <w:t xml:space="preserve"> </w:t>
      </w:r>
      <w:r>
        <w:t>construction.</w:t>
      </w:r>
    </w:p>
    <w:p w14:paraId="39FC2148" w14:textId="32219158" w:rsidR="006454FF" w:rsidRDefault="006454FF" w:rsidP="006454FF">
      <w:pPr>
        <w:ind w:left="720"/>
      </w:pPr>
      <w:r>
        <w:t>La surface construite brute maximale d’un garage est de 35 mètres-carrés. La surface</w:t>
      </w:r>
      <w:r>
        <w:t xml:space="preserve"> </w:t>
      </w:r>
      <w:r>
        <w:t>d’emprise au sol maximale d’un car-port est de 21 mètres-carrés. En rapport avec une</w:t>
      </w:r>
      <w:r>
        <w:t xml:space="preserve"> </w:t>
      </w:r>
      <w:r>
        <w:t>construction principale ne peuvent être réalisés qu’un garage et un car-port.</w:t>
      </w:r>
    </w:p>
    <w:p w14:paraId="3C31EC22" w14:textId="2350C108" w:rsidR="006454FF" w:rsidRDefault="006454FF" w:rsidP="006454FF">
      <w:pPr>
        <w:ind w:left="720"/>
      </w:pPr>
      <w:r>
        <w:t>La construction de garages et car-ports au niveau du recul latéral de la construction</w:t>
      </w:r>
      <w:r>
        <w:t xml:space="preserve"> </w:t>
      </w:r>
      <w:r>
        <w:t>principale est limitée aux maisons unifamiliales et est soumise aux conditions suivantes:</w:t>
      </w:r>
    </w:p>
    <w:p w14:paraId="643ADA2C" w14:textId="205A599E" w:rsidR="006454FF" w:rsidRDefault="006454FF" w:rsidP="00737114">
      <w:pPr>
        <w:pStyle w:val="ListParagraph"/>
        <w:numPr>
          <w:ilvl w:val="0"/>
          <w:numId w:val="24"/>
        </w:numPr>
      </w:pPr>
      <w:r>
        <w:t>La construction est autorisée sur un côté seulement de la construction principale.</w:t>
      </w:r>
    </w:p>
    <w:p w14:paraId="5109AAAF" w14:textId="77777777" w:rsidR="006454FF" w:rsidRDefault="006454FF" w:rsidP="006454FF">
      <w:pPr>
        <w:pStyle w:val="ListParagraph"/>
        <w:numPr>
          <w:ilvl w:val="0"/>
          <w:numId w:val="24"/>
        </w:numPr>
      </w:pPr>
      <w:r>
        <w:t>Les garages et car-ports doivent occuper toute la largeur du recul latéral ou respecter le</w:t>
      </w:r>
      <w:r>
        <w:t xml:space="preserve"> </w:t>
      </w:r>
      <w:r>
        <w:t>recul latéral prescrit.</w:t>
      </w:r>
    </w:p>
    <w:p w14:paraId="4B5A0F3E" w14:textId="77777777" w:rsidR="006454FF" w:rsidRDefault="006454FF" w:rsidP="006454FF">
      <w:pPr>
        <w:pStyle w:val="ListParagraph"/>
        <w:numPr>
          <w:ilvl w:val="0"/>
          <w:numId w:val="24"/>
        </w:numPr>
      </w:pPr>
      <w:r>
        <w:lastRenderedPageBreak/>
        <w:t>Les garages et car-ports peuvent dépasser la façade avant et arrière de la construction</w:t>
      </w:r>
      <w:r>
        <w:t xml:space="preserve"> </w:t>
      </w:r>
      <w:r>
        <w:t>principale sous condition de respecter l’alignement de façade et la profondeur de</w:t>
      </w:r>
      <w:r>
        <w:t xml:space="preserve"> </w:t>
      </w:r>
      <w:r>
        <w:t>construction prescrites.</w:t>
      </w:r>
    </w:p>
    <w:p w14:paraId="6FAD11B9" w14:textId="61F1ADB2" w:rsidR="006454FF" w:rsidRDefault="006454FF" w:rsidP="0063295F">
      <w:pPr>
        <w:pStyle w:val="ListParagraph"/>
        <w:numPr>
          <w:ilvl w:val="0"/>
          <w:numId w:val="24"/>
        </w:numPr>
      </w:pPr>
      <w:r>
        <w:t>Un car-port doit garder au moins deux côtés ouverts. La fermeture des côtés restants</w:t>
      </w:r>
      <w:r>
        <w:t xml:space="preserve"> </w:t>
      </w:r>
      <w:r>
        <w:t>moyennant une construction en dur est interdite. Il peut être muni d’une séparation non</w:t>
      </w:r>
      <w:r>
        <w:t>-</w:t>
      </w:r>
      <w:r>
        <w:t>étanche</w:t>
      </w:r>
      <w:r>
        <w:t xml:space="preserve"> </w:t>
      </w:r>
      <w:r>
        <w:t>en bois ou matériau similaire ou être munis d’un grillage quelconque.</w:t>
      </w:r>
    </w:p>
    <w:p w14:paraId="54CDF95E" w14:textId="77777777" w:rsidR="006454FF" w:rsidRDefault="006454FF" w:rsidP="00C70A60">
      <w:pPr>
        <w:ind w:left="720"/>
      </w:pPr>
      <w:r>
        <w:t>La construction de garages et car-ports au niveau du recul arrière de la parcelle est limitée</w:t>
      </w:r>
      <w:r>
        <w:t xml:space="preserve"> </w:t>
      </w:r>
      <w:r>
        <w:t>aux maisons unifamiliales et est so</w:t>
      </w:r>
      <w:r>
        <w:t>umise aux conditions suivantes:</w:t>
      </w:r>
    </w:p>
    <w:p w14:paraId="5CBB476C" w14:textId="620609A3" w:rsidR="006454FF" w:rsidRDefault="006454FF" w:rsidP="00B132CB">
      <w:pPr>
        <w:pStyle w:val="ListParagraph"/>
        <w:numPr>
          <w:ilvl w:val="0"/>
          <w:numId w:val="24"/>
        </w:numPr>
      </w:pPr>
      <w:r>
        <w:t>Le garage ou car-ports doit soit respecter les reculs latéraux et arrière autorisés, soit</w:t>
      </w:r>
      <w:r w:rsidR="00C70A60">
        <w:t xml:space="preserve"> </w:t>
      </w:r>
      <w:r>
        <w:t>s’implanter sur la limite de propriété.</w:t>
      </w:r>
    </w:p>
    <w:p w14:paraId="37092F64" w14:textId="0DACF0A9" w:rsidR="006454FF" w:rsidRPr="002871CC" w:rsidRDefault="006454FF" w:rsidP="00C70A60">
      <w:pPr>
        <w:ind w:left="720"/>
      </w:pPr>
      <w:r>
        <w:t>Un garage est considéré comme construction en sous-sol si tout son volume se situe en</w:t>
      </w:r>
      <w:r w:rsidR="00C70A60">
        <w:t>-</w:t>
      </w:r>
      <w:r>
        <w:t>dessous</w:t>
      </w:r>
      <w:r w:rsidR="00C70A60">
        <w:t xml:space="preserve"> </w:t>
      </w:r>
      <w:r>
        <w:t>du terrain naturel et doit se conformer aux prescriptions relatives aux constructions</w:t>
      </w:r>
      <w:r w:rsidR="00C70A60">
        <w:t xml:space="preserve"> </w:t>
      </w:r>
      <w:r>
        <w:t>souterraines.</w:t>
      </w:r>
      <w:bookmarkStart w:id="0" w:name="_GoBack"/>
      <w:bookmarkEnd w:id="0"/>
    </w:p>
    <w:sectPr w:rsidR="006454FF" w:rsidRPr="002871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270AD"/>
    <w:multiLevelType w:val="hybridMultilevel"/>
    <w:tmpl w:val="F26EFBBA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30C03"/>
    <w:multiLevelType w:val="hybridMultilevel"/>
    <w:tmpl w:val="E4E01BB0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E35D5"/>
    <w:multiLevelType w:val="hybridMultilevel"/>
    <w:tmpl w:val="EE9C8858"/>
    <w:lvl w:ilvl="0" w:tplc="1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C50A4"/>
    <w:multiLevelType w:val="hybridMultilevel"/>
    <w:tmpl w:val="FEE8926A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92D87"/>
    <w:multiLevelType w:val="hybridMultilevel"/>
    <w:tmpl w:val="8E70FF04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A7C07CE"/>
    <w:multiLevelType w:val="hybridMultilevel"/>
    <w:tmpl w:val="2F48594E"/>
    <w:lvl w:ilvl="0" w:tplc="1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91214"/>
    <w:multiLevelType w:val="hybridMultilevel"/>
    <w:tmpl w:val="5C023B6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7EC294F"/>
    <w:multiLevelType w:val="hybridMultilevel"/>
    <w:tmpl w:val="F9C6C63C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ADF29B7"/>
    <w:multiLevelType w:val="hybridMultilevel"/>
    <w:tmpl w:val="51BC075C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1F70D9"/>
    <w:multiLevelType w:val="hybridMultilevel"/>
    <w:tmpl w:val="FBC09990"/>
    <w:lvl w:ilvl="0" w:tplc="1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42ED5"/>
    <w:multiLevelType w:val="hybridMultilevel"/>
    <w:tmpl w:val="12A83AC2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969DB"/>
    <w:multiLevelType w:val="hybridMultilevel"/>
    <w:tmpl w:val="9B0E0576"/>
    <w:lvl w:ilvl="0" w:tplc="1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D42B7"/>
    <w:multiLevelType w:val="hybridMultilevel"/>
    <w:tmpl w:val="2736BF42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6008CC"/>
    <w:multiLevelType w:val="hybridMultilevel"/>
    <w:tmpl w:val="33F0DAB2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79474DC"/>
    <w:multiLevelType w:val="hybridMultilevel"/>
    <w:tmpl w:val="ECD44A14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F8369D"/>
    <w:multiLevelType w:val="hybridMultilevel"/>
    <w:tmpl w:val="CDD4D126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BF53BB2"/>
    <w:multiLevelType w:val="hybridMultilevel"/>
    <w:tmpl w:val="4B741A66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5F29CF"/>
    <w:multiLevelType w:val="hybridMultilevel"/>
    <w:tmpl w:val="9982A1BA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20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11"/>
  </w:num>
  <w:num w:numId="9">
    <w:abstractNumId w:val="7"/>
  </w:num>
  <w:num w:numId="10">
    <w:abstractNumId w:val="19"/>
  </w:num>
  <w:num w:numId="11">
    <w:abstractNumId w:val="17"/>
  </w:num>
  <w:num w:numId="12">
    <w:abstractNumId w:val="4"/>
  </w:num>
  <w:num w:numId="13">
    <w:abstractNumId w:val="14"/>
  </w:num>
  <w:num w:numId="14">
    <w:abstractNumId w:val="13"/>
  </w:num>
  <w:num w:numId="15">
    <w:abstractNumId w:val="5"/>
  </w:num>
  <w:num w:numId="16">
    <w:abstractNumId w:val="18"/>
  </w:num>
  <w:num w:numId="17">
    <w:abstractNumId w:val="1"/>
  </w:num>
  <w:num w:numId="18">
    <w:abstractNumId w:val="23"/>
  </w:num>
  <w:num w:numId="19">
    <w:abstractNumId w:val="6"/>
  </w:num>
  <w:num w:numId="20">
    <w:abstractNumId w:val="9"/>
  </w:num>
  <w:num w:numId="21">
    <w:abstractNumId w:val="22"/>
  </w:num>
  <w:num w:numId="22">
    <w:abstractNumId w:val="21"/>
  </w:num>
  <w:num w:numId="23">
    <w:abstractNumId w:val="15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871CC"/>
    <w:rsid w:val="00387019"/>
    <w:rsid w:val="0039622D"/>
    <w:rsid w:val="00397462"/>
    <w:rsid w:val="003A681A"/>
    <w:rsid w:val="005D1D9B"/>
    <w:rsid w:val="006454FF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70A60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28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3424</Words>
  <Characters>18838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2022-09-06T06:26:00Z</dcterms:modified>
</cp:coreProperties>
</file>