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5ADC4414" w14:textId="08940846" w:rsidR="000615D9" w:rsidRDefault="000615D9" w:rsidP="00BB6A82">
      <w:pPr>
        <w:pStyle w:val="ListParagraph"/>
        <w:numPr>
          <w:ilvl w:val="0"/>
          <w:numId w:val="7"/>
        </w:numPr>
        <w:ind w:left="1800"/>
      </w:pPr>
      <w:r w:rsidRPr="000615D9">
        <w:t xml:space="preserve">Zone de servitude urbanisation – </w:t>
      </w:r>
      <w:r>
        <w:t>« </w:t>
      </w:r>
      <w:r w:rsidRPr="000615D9">
        <w:t>écran vert 40</w:t>
      </w:r>
      <w:r>
        <w:t> »</w:t>
      </w:r>
      <w:r w:rsidRPr="000615D9">
        <w:t xml:space="preserve"> (EV40)</w:t>
      </w:r>
    </w:p>
    <w:p w14:paraId="4694E7F6" w14:textId="57E472AE" w:rsidR="00133F1E" w:rsidRPr="00BE1E51" w:rsidRDefault="00133F1E" w:rsidP="00133F1E">
      <w:pPr>
        <w:pStyle w:val="ListParagraph"/>
        <w:numPr>
          <w:ilvl w:val="0"/>
          <w:numId w:val="11"/>
        </w:numPr>
        <w:rPr>
          <w:b/>
          <w:u w:val="single"/>
        </w:rPr>
      </w:pPr>
      <w:r w:rsidRPr="00BE1E51">
        <w:rPr>
          <w:b/>
          <w:u w:val="single"/>
        </w:rPr>
        <w:t>Zone de servitude urbanisation – « parking écologique » (</w:t>
      </w:r>
      <w:proofErr w:type="spellStart"/>
      <w:r w:rsidRPr="00BE1E51">
        <w:rPr>
          <w:b/>
          <w:u w:val="single"/>
        </w:rPr>
        <w:t>Péco</w:t>
      </w:r>
      <w:proofErr w:type="spellEnd"/>
      <w:r w:rsidRPr="00BE1E51">
        <w:rPr>
          <w:b/>
          <w:u w:val="single"/>
        </w:rPr>
        <w:t>):</w:t>
      </w:r>
    </w:p>
    <w:p w14:paraId="1D98E62D" w14:textId="0FD14EFD" w:rsidR="00133F1E" w:rsidRDefault="00133F1E" w:rsidP="00133F1E">
      <w:pPr>
        <w:ind w:left="720"/>
      </w:pPr>
      <w:r>
        <w:t>Les zones soumis à une servitude urbanisation – « parking écologique » sont réservées uniquement à l’aménagement d’aire de stationnement, ainsi qu’aux infrastructures techniques propres à cette aire, notamment les bornes électriques, l'éclairage public, les parcmètres. Toute autre construction y est interdite.</w:t>
      </w:r>
    </w:p>
    <w:p w14:paraId="7B5086F8" w14:textId="77777777" w:rsidR="00133F1E" w:rsidRDefault="00133F1E" w:rsidP="00133F1E">
      <w:pPr>
        <w:ind w:left="720"/>
      </w:pPr>
      <w:r>
        <w:t>Dans le souci d'une bonne intégration du parking dans le milieu naturel du site, l´aménagement du parking doit être conçu selon des critères écologiques. Ces critères sont, au minimum, les suivants:</w:t>
      </w:r>
    </w:p>
    <w:p w14:paraId="5DA62BA9" w14:textId="48751936" w:rsidR="00133F1E" w:rsidRDefault="00133F1E" w:rsidP="00B82AB7">
      <w:pPr>
        <w:pStyle w:val="ListParagraph"/>
        <w:numPr>
          <w:ilvl w:val="0"/>
          <w:numId w:val="12"/>
        </w:numPr>
      </w:pPr>
      <w:r>
        <w:t>Adaptation de l´aménagement à la topographie naturelle du terrain/Limitation des terrassements</w:t>
      </w:r>
    </w:p>
    <w:p w14:paraId="38FED4FA" w14:textId="55C4D07C" w:rsidR="00133F1E" w:rsidRDefault="00133F1E" w:rsidP="00133F1E">
      <w:pPr>
        <w:pStyle w:val="ListParagraph"/>
        <w:numPr>
          <w:ilvl w:val="0"/>
          <w:numId w:val="12"/>
        </w:numPr>
      </w:pPr>
      <w:r>
        <w:t>Réduction à un minimum des surfaces scellées par le recours à des substrats perméables/Utilisation de revêtements permettant l’installation spontanée de la végétation: les pavés non posés dans le mortier, les pavés à ‘joints verts’, le concassé, les systèmes alvéolaires intégrant une végétalisation. Les jonctions entre les différents matériaux doivent permettre des transitions fluides au niveau de la végétation et de l’esthétique.</w:t>
      </w:r>
    </w:p>
    <w:p w14:paraId="7FF76AD1" w14:textId="0A3E6361" w:rsidR="00133F1E" w:rsidRDefault="00133F1E" w:rsidP="001D75C7">
      <w:pPr>
        <w:pStyle w:val="ListParagraph"/>
        <w:numPr>
          <w:ilvl w:val="0"/>
          <w:numId w:val="12"/>
        </w:numPr>
      </w:pPr>
      <w:r>
        <w:t>Plantations d´espèces indigènes et adaptées au milieu/Recours exclusif aux essences locales d´arbres et d´arbustes.</w:t>
      </w:r>
    </w:p>
    <w:p w14:paraId="6385315D" w14:textId="77777777" w:rsidR="00133F1E" w:rsidRDefault="00133F1E" w:rsidP="00FC3181">
      <w:pPr>
        <w:pStyle w:val="ListParagraph"/>
        <w:numPr>
          <w:ilvl w:val="0"/>
          <w:numId w:val="12"/>
        </w:numPr>
      </w:pPr>
      <w:r>
        <w:t>Délimitation des espaces de stationnement par des éléments naturels (arbres, arbustes)</w:t>
      </w:r>
    </w:p>
    <w:p w14:paraId="37C0F29B" w14:textId="0234F605" w:rsidR="00BB6A82" w:rsidRPr="007D461A" w:rsidRDefault="00133F1E" w:rsidP="00192204">
      <w:pPr>
        <w:pStyle w:val="ListParagraph"/>
        <w:numPr>
          <w:ilvl w:val="0"/>
          <w:numId w:val="12"/>
        </w:numPr>
      </w:pPr>
      <w:r>
        <w:lastRenderedPageBreak/>
        <w:t xml:space="preserve">Recours aux produits </w:t>
      </w:r>
      <w:proofErr w:type="spellStart"/>
      <w:r>
        <w:t>phyto-sanitaires</w:t>
      </w:r>
      <w:proofErr w:type="spellEnd"/>
      <w:r>
        <w:t xml:space="preserve"> strictement interdit lors de l’aménagement comme de l’entretien de ces espaces.</w:t>
      </w:r>
    </w:p>
    <w:sectPr w:rsidR="00BB6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57325"/>
    <w:multiLevelType w:val="hybridMultilevel"/>
    <w:tmpl w:val="35429956"/>
    <w:lvl w:ilvl="0" w:tplc="9B3CFC6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C1BE6"/>
    <w:multiLevelType w:val="hybridMultilevel"/>
    <w:tmpl w:val="F5E278E6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62EC5"/>
    <w:multiLevelType w:val="hybridMultilevel"/>
    <w:tmpl w:val="E71CC8B8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23026">
    <w:abstractNumId w:val="7"/>
  </w:num>
  <w:num w:numId="2" w16cid:durableId="1862667706">
    <w:abstractNumId w:val="8"/>
  </w:num>
  <w:num w:numId="3" w16cid:durableId="1419516191">
    <w:abstractNumId w:val="11"/>
  </w:num>
  <w:num w:numId="4" w16cid:durableId="229537181">
    <w:abstractNumId w:val="0"/>
  </w:num>
  <w:num w:numId="5" w16cid:durableId="1828283827">
    <w:abstractNumId w:val="1"/>
  </w:num>
  <w:num w:numId="6" w16cid:durableId="769854453">
    <w:abstractNumId w:val="3"/>
  </w:num>
  <w:num w:numId="7" w16cid:durableId="181868195">
    <w:abstractNumId w:val="4"/>
  </w:num>
  <w:num w:numId="8" w16cid:durableId="82266345">
    <w:abstractNumId w:val="5"/>
  </w:num>
  <w:num w:numId="9" w16cid:durableId="841965705">
    <w:abstractNumId w:val="10"/>
  </w:num>
  <w:num w:numId="10" w16cid:durableId="466902424">
    <w:abstractNumId w:val="6"/>
  </w:num>
  <w:num w:numId="11" w16cid:durableId="2094205010">
    <w:abstractNumId w:val="2"/>
  </w:num>
  <w:num w:numId="12" w16cid:durableId="55933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615D9"/>
    <w:rsid w:val="000F1EB4"/>
    <w:rsid w:val="00133F1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6A82"/>
    <w:rsid w:val="00BE1E51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2024-11-29T12:38:00Z</dcterms:modified>
</cp:coreProperties>
</file>