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F9BF" w14:textId="5697A4E5" w:rsidR="00BB6A82" w:rsidRDefault="00BB6A82" w:rsidP="00BB6A82">
      <w:pPr>
        <w:pStyle w:val="Heading1"/>
      </w:pPr>
      <w:r>
        <w:t>Art. 17 Zones de servitude « urbanisation »</w:t>
      </w:r>
    </w:p>
    <w:p w14:paraId="2463CAF0" w14:textId="02DFFB72" w:rsidR="00BB6A82" w:rsidRDefault="00BB6A82" w:rsidP="00BB6A82">
      <w:pPr>
        <w:pStyle w:val="ListParagraph"/>
        <w:numPr>
          <w:ilvl w:val="0"/>
          <w:numId w:val="9"/>
        </w:numPr>
      </w:pPr>
      <w:r>
        <w:t>Dans les zones de servitude « urbanisation » des prescriptions spécifiques sont définies à fin d’assurer la sauvegarde de la qualité urbanistique, ainsi que de l’environnement naturel et du paysage d’une certaine partie du territoire communal.</w:t>
      </w:r>
    </w:p>
    <w:p w14:paraId="2F232707" w14:textId="0793B00D" w:rsidR="00BB6A82" w:rsidRDefault="00BB6A82" w:rsidP="00BB6A82">
      <w:pPr>
        <w:ind w:left="720"/>
      </w:pPr>
      <w:r>
        <w:t>Les prescriptions y relatives sont détaillées ci-après par type de servitude, dont la ou les lettres sont indiquées également dans la partie graphique.</w:t>
      </w:r>
    </w:p>
    <w:p w14:paraId="729CFDE6" w14:textId="77777777" w:rsidR="00BB6A82" w:rsidRDefault="00BB6A82" w:rsidP="00BB6A82">
      <w:pPr>
        <w:ind w:left="720"/>
      </w:pPr>
      <w:r>
        <w:t>On distingue:</w:t>
      </w:r>
    </w:p>
    <w:p w14:paraId="3DAED71E" w14:textId="43AF3552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écran vert » (EV)</w:t>
      </w:r>
    </w:p>
    <w:p w14:paraId="7C708B4E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cours d´eau » (E)</w:t>
      </w:r>
    </w:p>
    <w:p w14:paraId="7A3CA355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recul forêt » (F)</w:t>
      </w:r>
    </w:p>
    <w:p w14:paraId="79CB46E8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rétention » (R)</w:t>
      </w:r>
    </w:p>
    <w:p w14:paraId="1AFE1940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parking écologique » (</w:t>
      </w:r>
      <w:proofErr w:type="spellStart"/>
      <w:r>
        <w:t>Péco</w:t>
      </w:r>
      <w:proofErr w:type="spellEnd"/>
      <w:r>
        <w:t>)</w:t>
      </w:r>
    </w:p>
    <w:p w14:paraId="38FDEE07" w14:textId="60EB2395" w:rsidR="006605E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éléments verts à maintenir » (EM)</w:t>
      </w:r>
    </w:p>
    <w:p w14:paraId="5CC4AAE2" w14:textId="1D79B8F3" w:rsidR="00663789" w:rsidRDefault="00663789" w:rsidP="00BB6A82">
      <w:pPr>
        <w:pStyle w:val="ListParagraph"/>
        <w:numPr>
          <w:ilvl w:val="0"/>
          <w:numId w:val="7"/>
        </w:numPr>
        <w:ind w:left="1800"/>
      </w:pPr>
      <w:r w:rsidRPr="00663789">
        <w:t xml:space="preserve">Zone de servitude urbanisation – </w:t>
      </w:r>
      <w:r>
        <w:t>« </w:t>
      </w:r>
      <w:r w:rsidRPr="00663789">
        <w:t>écran vert 40</w:t>
      </w:r>
      <w:r>
        <w:t> »</w:t>
      </w:r>
      <w:r w:rsidRPr="00663789">
        <w:t xml:space="preserve"> (EV40)</w:t>
      </w:r>
    </w:p>
    <w:p w14:paraId="7902BF7B" w14:textId="2B069177" w:rsidR="00642684" w:rsidRPr="000476B4" w:rsidRDefault="00642684" w:rsidP="00642684">
      <w:pPr>
        <w:pStyle w:val="ListParagraph"/>
        <w:numPr>
          <w:ilvl w:val="0"/>
          <w:numId w:val="11"/>
        </w:numPr>
        <w:rPr>
          <w:b/>
          <w:u w:val="single"/>
        </w:rPr>
      </w:pPr>
      <w:r w:rsidRPr="000476B4">
        <w:rPr>
          <w:b/>
          <w:u w:val="single"/>
        </w:rPr>
        <w:t>Zone de servitude « urbanisation » – type « rétention » (R):</w:t>
      </w:r>
    </w:p>
    <w:p w14:paraId="22371F3D" w14:textId="744D5A2F" w:rsidR="00642684" w:rsidRDefault="00642684" w:rsidP="00642684">
      <w:pPr>
        <w:ind w:left="720"/>
      </w:pPr>
      <w:r>
        <w:t>La zone de servitude urbanisation – « rétention » vise à garantir les surfaces nécessaires à la rétention des eaux de surface. Toute construction y est interdite, sauf des aménagements ayant pour but la rétention des eaux de surface, des infrastructures techniques, soit en surface, soit au souterrain, ainsi que des chemins piétonniers.</w:t>
      </w:r>
    </w:p>
    <w:p w14:paraId="7BE5ED7A" w14:textId="77777777" w:rsidR="00642684" w:rsidRDefault="00642684" w:rsidP="00642684">
      <w:pPr>
        <w:ind w:left="720"/>
      </w:pPr>
      <w:r>
        <w:t>Un aménagement écologique d'un bassin de rétention à ciel ouvert se fait à travers</w:t>
      </w:r>
    </w:p>
    <w:p w14:paraId="63362C20" w14:textId="77777777" w:rsidR="00642684" w:rsidRDefault="00642684" w:rsidP="00642684">
      <w:pPr>
        <w:pStyle w:val="ListParagraph"/>
        <w:numPr>
          <w:ilvl w:val="0"/>
          <w:numId w:val="12"/>
        </w:numPr>
      </w:pPr>
      <w:r>
        <w:t>des berges à pente douce;</w:t>
      </w:r>
    </w:p>
    <w:p w14:paraId="622255F8" w14:textId="77777777" w:rsidR="00642684" w:rsidRDefault="00642684" w:rsidP="00642684">
      <w:pPr>
        <w:pStyle w:val="ListParagraph"/>
        <w:numPr>
          <w:ilvl w:val="0"/>
          <w:numId w:val="12"/>
        </w:numPr>
      </w:pPr>
      <w:r>
        <w:t>une intégration harmonieuse dans le terrain naturel sans aménagement de digues;</w:t>
      </w:r>
    </w:p>
    <w:p w14:paraId="78C5DD8D" w14:textId="77777777" w:rsidR="00642684" w:rsidRDefault="00642684" w:rsidP="00642684">
      <w:pPr>
        <w:pStyle w:val="ListParagraph"/>
        <w:numPr>
          <w:ilvl w:val="0"/>
          <w:numId w:val="12"/>
        </w:numPr>
      </w:pPr>
      <w:r>
        <w:t>l'interdiction de l'utilisation de toiles plastifiées ainsi que</w:t>
      </w:r>
    </w:p>
    <w:p w14:paraId="37C0F29B" w14:textId="7313EA77" w:rsidR="00BB6A82" w:rsidRPr="007D461A" w:rsidRDefault="00642684" w:rsidP="00674BB2">
      <w:pPr>
        <w:pStyle w:val="ListParagraph"/>
        <w:numPr>
          <w:ilvl w:val="0"/>
          <w:numId w:val="12"/>
        </w:numPr>
      </w:pPr>
      <w:r>
        <w:t>la limitation de l'utilisation du béton aux seuls ouvrages d'entrée et de sortie et de la paroi plongeant (</w:t>
      </w:r>
      <w:proofErr w:type="spellStart"/>
      <w:r>
        <w:t>Ölscheidewand</w:t>
      </w:r>
      <w:proofErr w:type="spellEnd"/>
      <w:r>
        <w:t>).</w:t>
      </w:r>
    </w:p>
    <w:sectPr w:rsidR="00BB6A8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E3EA6"/>
    <w:multiLevelType w:val="hybridMultilevel"/>
    <w:tmpl w:val="679AF3EE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E887CDB"/>
    <w:multiLevelType w:val="hybridMultilevel"/>
    <w:tmpl w:val="5CFE0B86"/>
    <w:lvl w:ilvl="0" w:tplc="085E6D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22499"/>
    <w:multiLevelType w:val="hybridMultilevel"/>
    <w:tmpl w:val="51E4100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CB5373"/>
    <w:multiLevelType w:val="hybridMultilevel"/>
    <w:tmpl w:val="2F8C885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643F5"/>
    <w:multiLevelType w:val="hybridMultilevel"/>
    <w:tmpl w:val="B2DC5074"/>
    <w:lvl w:ilvl="0" w:tplc="3C4241EE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D45A1"/>
    <w:multiLevelType w:val="hybridMultilevel"/>
    <w:tmpl w:val="541ABFDA"/>
    <w:lvl w:ilvl="0" w:tplc="86BA29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259327">
    <w:abstractNumId w:val="7"/>
  </w:num>
  <w:num w:numId="2" w16cid:durableId="1709183938">
    <w:abstractNumId w:val="8"/>
  </w:num>
  <w:num w:numId="3" w16cid:durableId="421999501">
    <w:abstractNumId w:val="11"/>
  </w:num>
  <w:num w:numId="4" w16cid:durableId="527183103">
    <w:abstractNumId w:val="0"/>
  </w:num>
  <w:num w:numId="5" w16cid:durableId="2092575922">
    <w:abstractNumId w:val="1"/>
  </w:num>
  <w:num w:numId="6" w16cid:durableId="1564946057">
    <w:abstractNumId w:val="4"/>
  </w:num>
  <w:num w:numId="7" w16cid:durableId="467016979">
    <w:abstractNumId w:val="5"/>
  </w:num>
  <w:num w:numId="8" w16cid:durableId="1078553054">
    <w:abstractNumId w:val="6"/>
  </w:num>
  <w:num w:numId="9" w16cid:durableId="1338727556">
    <w:abstractNumId w:val="10"/>
  </w:num>
  <w:num w:numId="10" w16cid:durableId="1552380158">
    <w:abstractNumId w:val="3"/>
  </w:num>
  <w:num w:numId="11" w16cid:durableId="2077625145">
    <w:abstractNumId w:val="9"/>
  </w:num>
  <w:num w:numId="12" w16cid:durableId="4104674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476B4"/>
    <w:rsid w:val="000529E4"/>
    <w:rsid w:val="000F1EB4"/>
    <w:rsid w:val="00387019"/>
    <w:rsid w:val="0039622D"/>
    <w:rsid w:val="00397462"/>
    <w:rsid w:val="003A681A"/>
    <w:rsid w:val="005D1D9B"/>
    <w:rsid w:val="00642684"/>
    <w:rsid w:val="006605E2"/>
    <w:rsid w:val="00663789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B6A82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2024-11-29T12:38:00Z</dcterms:modified>
</cp:coreProperties>
</file>