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6E1" w:rsidRDefault="009E16E1" w:rsidP="00670122">
      <w:pPr>
        <w:pStyle w:val="Heading1"/>
      </w:pPr>
      <w:bookmarkStart w:id="0" w:name="_Toc32992370"/>
      <w:r w:rsidRPr="00315363">
        <w:t>Art. 1</w:t>
      </w:r>
      <w:r>
        <w:t>8</w:t>
      </w:r>
      <w:r w:rsidR="00670122">
        <w:t xml:space="preserve"> </w:t>
      </w:r>
      <w:r w:rsidRPr="0076370B">
        <w:t xml:space="preserve">Secteurs </w:t>
      </w:r>
      <w:r>
        <w:t xml:space="preserve">et éléments </w:t>
      </w:r>
      <w:r w:rsidRPr="0076370B">
        <w:t>protégés d’intérêt communal</w:t>
      </w:r>
      <w:r>
        <w:t xml:space="preserve"> de type</w:t>
      </w:r>
      <w:r w:rsidRPr="0076370B">
        <w:t xml:space="preserve"> </w:t>
      </w:r>
      <w:r>
        <w:t>– « </w:t>
      </w:r>
      <w:r w:rsidRPr="00B655B3">
        <w:t>environnement construit</w:t>
      </w:r>
      <w:r>
        <w:t> »</w:t>
      </w:r>
      <w:bookmarkEnd w:id="0"/>
    </w:p>
    <w:p w:rsidR="009E16E1" w:rsidRPr="00012EF1" w:rsidRDefault="00670122" w:rsidP="00670122">
      <w:pPr>
        <w:pStyle w:val="Heading2"/>
        <w:rPr>
          <w:lang w:val="fr-LU"/>
        </w:rPr>
      </w:pPr>
      <w:bookmarkStart w:id="1" w:name="_Toc32992371"/>
      <w:r>
        <w:rPr>
          <w:lang w:val="fr-LU"/>
        </w:rPr>
        <w:t xml:space="preserve">Art. </w:t>
      </w:r>
      <w:r w:rsidR="009E16E1">
        <w:rPr>
          <w:lang w:val="fr-LU"/>
        </w:rPr>
        <w:t>18.1 Définition</w:t>
      </w:r>
      <w:bookmarkEnd w:id="1"/>
    </w:p>
    <w:p w:rsidR="009E16E1" w:rsidRPr="006D0760" w:rsidRDefault="009E16E1" w:rsidP="009E16E1">
      <w:pPr>
        <w:rPr>
          <w:lang w:val="fr-FR"/>
        </w:rPr>
      </w:pPr>
      <w:r w:rsidRPr="006D0760">
        <w:rPr>
          <w:lang w:val="fr-FR"/>
        </w:rPr>
        <w:t>Les secteurs protégés d’intérêt communal de type « environnement construit » (ci-après appelé</w:t>
      </w:r>
      <w:r>
        <w:rPr>
          <w:lang w:val="fr-FR"/>
        </w:rPr>
        <w:t xml:space="preserve"> </w:t>
      </w:r>
      <w:r w:rsidRPr="006D0760">
        <w:rPr>
          <w:lang w:val="fr-FR"/>
        </w:rPr>
        <w:t>« secteur protégé ») constituent les parties du territoire communal qui comprennent des immeubles ou</w:t>
      </w:r>
      <w:r>
        <w:rPr>
          <w:lang w:val="fr-FR"/>
        </w:rPr>
        <w:t xml:space="preserve"> </w:t>
      </w:r>
      <w:r w:rsidRPr="006D0760">
        <w:rPr>
          <w:lang w:val="fr-FR"/>
        </w:rPr>
        <w:t>parties d’immeubles à conserver, en raison de leur :</w:t>
      </w:r>
    </w:p>
    <w:p w:rsidR="009E16E1" w:rsidRPr="006D0760" w:rsidRDefault="009E16E1" w:rsidP="009E16E1">
      <w:pPr>
        <w:numPr>
          <w:ilvl w:val="0"/>
          <w:numId w:val="2"/>
        </w:numPr>
        <w:ind w:left="714" w:hanging="357"/>
        <w:rPr>
          <w:rFonts w:cs="Arial"/>
          <w:szCs w:val="22"/>
          <w:lang w:val="fr-LU"/>
        </w:rPr>
      </w:pPr>
      <w:r>
        <w:rPr>
          <w:rFonts w:cs="Arial"/>
          <w:szCs w:val="22"/>
          <w:lang w:val="fr-LU"/>
        </w:rPr>
        <w:t>authenticité,</w:t>
      </w:r>
    </w:p>
    <w:p w:rsidR="009E16E1" w:rsidRPr="006D0760" w:rsidRDefault="009E16E1" w:rsidP="009E16E1">
      <w:pPr>
        <w:numPr>
          <w:ilvl w:val="0"/>
          <w:numId w:val="2"/>
        </w:numPr>
        <w:ind w:left="714" w:hanging="357"/>
        <w:rPr>
          <w:rFonts w:cs="Arial"/>
          <w:szCs w:val="22"/>
          <w:lang w:val="fr-LU"/>
        </w:rPr>
      </w:pPr>
      <w:r>
        <w:rPr>
          <w:rFonts w:cs="Arial"/>
          <w:szCs w:val="22"/>
          <w:lang w:val="fr-LU"/>
        </w:rPr>
        <w:t>rareté,</w:t>
      </w:r>
    </w:p>
    <w:p w:rsidR="009E16E1" w:rsidRPr="006D0760" w:rsidRDefault="009E16E1" w:rsidP="009E16E1">
      <w:pPr>
        <w:numPr>
          <w:ilvl w:val="0"/>
          <w:numId w:val="2"/>
        </w:numPr>
        <w:ind w:left="714" w:hanging="357"/>
        <w:rPr>
          <w:rFonts w:cs="Arial"/>
          <w:szCs w:val="22"/>
          <w:lang w:val="fr-LU"/>
        </w:rPr>
      </w:pPr>
      <w:r>
        <w:rPr>
          <w:rFonts w:cs="Arial"/>
          <w:szCs w:val="22"/>
          <w:lang w:val="fr-LU"/>
        </w:rPr>
        <w:t>genre,</w:t>
      </w:r>
    </w:p>
    <w:p w:rsidR="009E16E1" w:rsidRPr="006D0760" w:rsidRDefault="009E16E1" w:rsidP="009E16E1">
      <w:pPr>
        <w:numPr>
          <w:ilvl w:val="0"/>
          <w:numId w:val="2"/>
        </w:numPr>
        <w:ind w:left="714" w:hanging="357"/>
        <w:rPr>
          <w:rFonts w:cs="Arial"/>
          <w:szCs w:val="22"/>
          <w:lang w:val="fr-LU"/>
        </w:rPr>
      </w:pPr>
      <w:r w:rsidRPr="006D0760">
        <w:rPr>
          <w:rFonts w:cs="Arial"/>
          <w:szCs w:val="22"/>
          <w:lang w:val="fr-LU"/>
        </w:rPr>
        <w:t xml:space="preserve">période de </w:t>
      </w:r>
      <w:r>
        <w:rPr>
          <w:rFonts w:cs="Arial"/>
          <w:szCs w:val="22"/>
          <w:lang w:val="fr-LU"/>
        </w:rPr>
        <w:t>construction,</w:t>
      </w:r>
    </w:p>
    <w:p w:rsidR="009E16E1" w:rsidRPr="006D0760" w:rsidRDefault="009E16E1" w:rsidP="009E16E1">
      <w:pPr>
        <w:numPr>
          <w:ilvl w:val="0"/>
          <w:numId w:val="2"/>
        </w:numPr>
        <w:ind w:left="714" w:hanging="357"/>
        <w:rPr>
          <w:rFonts w:cs="Arial"/>
          <w:szCs w:val="22"/>
          <w:lang w:val="fr-LU"/>
        </w:rPr>
      </w:pPr>
      <w:r w:rsidRPr="006D0760">
        <w:rPr>
          <w:rFonts w:cs="Arial"/>
          <w:szCs w:val="22"/>
          <w:lang w:val="fr-LU"/>
        </w:rPr>
        <w:t>hist</w:t>
      </w:r>
      <w:r>
        <w:rPr>
          <w:rFonts w:cs="Arial"/>
          <w:szCs w:val="22"/>
          <w:lang w:val="fr-LU"/>
        </w:rPr>
        <w:t>oire technique et industrielle,</w:t>
      </w:r>
    </w:p>
    <w:p w:rsidR="009E16E1" w:rsidRPr="006D0760" w:rsidRDefault="009E16E1" w:rsidP="009E16E1">
      <w:pPr>
        <w:numPr>
          <w:ilvl w:val="0"/>
          <w:numId w:val="2"/>
        </w:numPr>
        <w:ind w:left="714" w:hanging="357"/>
        <w:rPr>
          <w:rFonts w:cs="Arial"/>
          <w:szCs w:val="22"/>
          <w:lang w:val="fr-LU"/>
        </w:rPr>
      </w:pPr>
      <w:r>
        <w:rPr>
          <w:rFonts w:cs="Arial"/>
          <w:szCs w:val="22"/>
          <w:lang w:val="fr-LU"/>
        </w:rPr>
        <w:t>lieu de mémoire,</w:t>
      </w:r>
    </w:p>
    <w:p w:rsidR="009E16E1" w:rsidRPr="006D0760" w:rsidRDefault="009E16E1" w:rsidP="009E16E1">
      <w:pPr>
        <w:numPr>
          <w:ilvl w:val="0"/>
          <w:numId w:val="2"/>
        </w:numPr>
        <w:ind w:left="714" w:hanging="357"/>
        <w:rPr>
          <w:rFonts w:cs="Arial"/>
          <w:szCs w:val="22"/>
          <w:lang w:val="fr-LU"/>
        </w:rPr>
      </w:pPr>
      <w:r>
        <w:rPr>
          <w:rFonts w:cs="Arial"/>
          <w:szCs w:val="22"/>
          <w:lang w:val="fr-LU"/>
        </w:rPr>
        <w:t>histoire sociale,</w:t>
      </w:r>
    </w:p>
    <w:p w:rsidR="009E16E1" w:rsidRPr="006D0760" w:rsidRDefault="009E16E1" w:rsidP="009E16E1">
      <w:pPr>
        <w:numPr>
          <w:ilvl w:val="0"/>
          <w:numId w:val="2"/>
        </w:numPr>
        <w:ind w:left="714" w:hanging="357"/>
        <w:rPr>
          <w:rFonts w:cs="Arial"/>
          <w:szCs w:val="22"/>
          <w:lang w:val="fr-LU"/>
        </w:rPr>
      </w:pPr>
      <w:r>
        <w:rPr>
          <w:rFonts w:cs="Arial"/>
          <w:szCs w:val="22"/>
          <w:lang w:val="fr-LU"/>
        </w:rPr>
        <w:t>typicité du lieu,</w:t>
      </w:r>
    </w:p>
    <w:p w:rsidR="009E16E1" w:rsidRDefault="009E16E1" w:rsidP="009E16E1">
      <w:pPr>
        <w:numPr>
          <w:ilvl w:val="0"/>
          <w:numId w:val="2"/>
        </w:numPr>
        <w:ind w:left="714" w:hanging="357"/>
        <w:rPr>
          <w:rFonts w:cs="Arial"/>
          <w:szCs w:val="22"/>
          <w:lang w:val="fr-LU"/>
        </w:rPr>
      </w:pPr>
      <w:r>
        <w:rPr>
          <w:rFonts w:cs="Arial"/>
          <w:szCs w:val="22"/>
          <w:lang w:val="fr-LU"/>
        </w:rPr>
        <w:t>histoire locale,</w:t>
      </w:r>
    </w:p>
    <w:p w:rsidR="009E16E1" w:rsidRPr="00012EF1" w:rsidRDefault="009E16E1" w:rsidP="009E16E1">
      <w:pPr>
        <w:numPr>
          <w:ilvl w:val="0"/>
          <w:numId w:val="2"/>
        </w:numPr>
        <w:ind w:left="714" w:hanging="357"/>
        <w:rPr>
          <w:rFonts w:cs="Arial"/>
          <w:szCs w:val="22"/>
          <w:lang w:val="fr-LU"/>
        </w:rPr>
      </w:pPr>
      <w:r>
        <w:rPr>
          <w:rFonts w:cs="Arial"/>
          <w:szCs w:val="22"/>
          <w:lang w:val="fr-LU"/>
        </w:rPr>
        <w:t>- type de bâti,</w:t>
      </w:r>
    </w:p>
    <w:p w:rsidR="009E16E1" w:rsidRPr="00012EF1" w:rsidRDefault="009E16E1" w:rsidP="009E16E1">
      <w:pPr>
        <w:numPr>
          <w:ilvl w:val="0"/>
          <w:numId w:val="2"/>
        </w:numPr>
        <w:rPr>
          <w:rFonts w:cs="Arial"/>
          <w:szCs w:val="22"/>
          <w:lang w:val="fr-LU"/>
        </w:rPr>
      </w:pPr>
      <w:r w:rsidRPr="00012EF1">
        <w:rPr>
          <w:rFonts w:cs="Arial"/>
          <w:szCs w:val="22"/>
          <w:lang w:val="fr-LU"/>
        </w:rPr>
        <w:t>évol</w:t>
      </w:r>
      <w:r>
        <w:rPr>
          <w:rFonts w:cs="Arial"/>
          <w:szCs w:val="22"/>
          <w:lang w:val="fr-LU"/>
        </w:rPr>
        <w:t>ution et développement du bâti,</w:t>
      </w:r>
    </w:p>
    <w:p w:rsidR="009E16E1" w:rsidRDefault="009E16E1" w:rsidP="009E16E1">
      <w:pPr>
        <w:numPr>
          <w:ilvl w:val="0"/>
          <w:numId w:val="2"/>
        </w:numPr>
        <w:rPr>
          <w:rFonts w:cs="Arial"/>
          <w:szCs w:val="22"/>
          <w:lang w:val="fr-LU"/>
        </w:rPr>
      </w:pPr>
      <w:proofErr w:type="gramStart"/>
      <w:r w:rsidRPr="00012EF1">
        <w:rPr>
          <w:rFonts w:cs="Arial"/>
          <w:szCs w:val="22"/>
          <w:lang w:val="fr-LU"/>
        </w:rPr>
        <w:t>ensemble</w:t>
      </w:r>
      <w:proofErr w:type="gramEnd"/>
      <w:r>
        <w:rPr>
          <w:rFonts w:cs="Arial"/>
          <w:szCs w:val="22"/>
          <w:lang w:val="fr-LU"/>
        </w:rPr>
        <w:t>.</w:t>
      </w:r>
    </w:p>
    <w:p w:rsidR="00670122" w:rsidRPr="00012EF1" w:rsidRDefault="00670122" w:rsidP="00670122">
      <w:pPr>
        <w:rPr>
          <w:rFonts w:cs="Arial"/>
          <w:szCs w:val="22"/>
          <w:lang w:val="fr-LU"/>
        </w:rPr>
      </w:pPr>
    </w:p>
    <w:p w:rsidR="009E16E1" w:rsidRPr="00012EF1" w:rsidRDefault="00670122" w:rsidP="00670122">
      <w:pPr>
        <w:pStyle w:val="Heading2"/>
        <w:rPr>
          <w:lang w:val="fr-LU"/>
        </w:rPr>
      </w:pPr>
      <w:bookmarkStart w:id="2" w:name="_Toc32992372"/>
      <w:r>
        <w:rPr>
          <w:lang w:val="fr-LU"/>
        </w:rPr>
        <w:t xml:space="preserve">Art. </w:t>
      </w:r>
      <w:r w:rsidR="009E16E1">
        <w:rPr>
          <w:lang w:val="fr-LU"/>
        </w:rPr>
        <w:t>18.2</w:t>
      </w:r>
      <w:r w:rsidR="009E16E1" w:rsidRPr="00012EF1">
        <w:rPr>
          <w:lang w:val="fr-LU"/>
        </w:rPr>
        <w:t xml:space="preserve"> Constructions dans le secteur protégé</w:t>
      </w:r>
      <w:bookmarkEnd w:id="2"/>
    </w:p>
    <w:p w:rsidR="009E16E1" w:rsidRPr="00012EF1" w:rsidRDefault="009E16E1" w:rsidP="009E16E1">
      <w:pPr>
        <w:rPr>
          <w:rFonts w:cs="Arial"/>
          <w:szCs w:val="22"/>
          <w:lang w:val="fr-CI"/>
        </w:rPr>
      </w:pPr>
      <w:r w:rsidRPr="00012EF1">
        <w:rPr>
          <w:rFonts w:cs="Arial"/>
          <w:szCs w:val="22"/>
          <w:lang w:val="fr-CI"/>
        </w:rPr>
        <w:t xml:space="preserve">Tous travaux de réparation, de restauration, de rénovation, d'amélioration énergétique, d'agrandissement, d'extension ou de transformation quelconque de ces immeubles (ci-après appelés "travaux") sont en principe autorisés, dans le respect des règles et procédures définies ci-après. </w:t>
      </w:r>
    </w:p>
    <w:p w:rsidR="009E16E1" w:rsidRDefault="009E16E1" w:rsidP="009E16E1">
      <w:pPr>
        <w:rPr>
          <w:rFonts w:cs="Arial"/>
          <w:szCs w:val="22"/>
          <w:lang w:val="fr-CI"/>
        </w:rPr>
      </w:pPr>
      <w:r w:rsidRPr="00012EF1">
        <w:rPr>
          <w:rFonts w:cs="Arial"/>
          <w:szCs w:val="22"/>
          <w:lang w:val="fr-CI"/>
        </w:rPr>
        <w:t>Les travaux à réaliser sur les bâtiments se trouvant dans le secteur protégé, ainsi que la construction de nouveaux immeubles doivent s'intégrer dans la structure caractéristique du bâti existant traditionnel. Les éléments à considérer dans la planification et dans la réalisation des travaux et des constructions sont les éléments caractéristiques en place, à savoir, le gabarit, le rythme des façades, ainsi que les matériaux et teintes traditionnelles de la région. Une architecture contemporaine de qualité est de mise pour toute nouvelle construction.</w:t>
      </w:r>
    </w:p>
    <w:p w:rsidR="00670122" w:rsidRDefault="00670122" w:rsidP="009E16E1">
      <w:pPr>
        <w:rPr>
          <w:rFonts w:cs="Arial"/>
          <w:szCs w:val="22"/>
          <w:lang w:val="fr-CI"/>
        </w:rPr>
      </w:pPr>
    </w:p>
    <w:p w:rsidR="009E16E1" w:rsidRPr="00012EF1" w:rsidRDefault="00670122" w:rsidP="00670122">
      <w:pPr>
        <w:pStyle w:val="Heading2"/>
        <w:rPr>
          <w:lang w:val="fr-LU"/>
        </w:rPr>
      </w:pPr>
      <w:bookmarkStart w:id="3" w:name="_Toc32992377"/>
      <w:r>
        <w:rPr>
          <w:lang w:val="fr-LU"/>
        </w:rPr>
        <w:t xml:space="preserve">Art. </w:t>
      </w:r>
      <w:r w:rsidR="009E16E1">
        <w:rPr>
          <w:lang w:val="fr-LU"/>
        </w:rPr>
        <w:t>18.7</w:t>
      </w:r>
      <w:r w:rsidR="009E16E1" w:rsidRPr="00012EF1">
        <w:rPr>
          <w:lang w:val="fr-LU"/>
        </w:rPr>
        <w:t xml:space="preserve"> </w:t>
      </w:r>
      <w:r w:rsidR="009E16E1" w:rsidRPr="00012EF1">
        <w:rPr>
          <w:lang w:val="fr-CI"/>
        </w:rPr>
        <w:t>Assainissement énergétique</w:t>
      </w:r>
      <w:bookmarkEnd w:id="3"/>
    </w:p>
    <w:p w:rsidR="009E16E1" w:rsidRPr="00012EF1" w:rsidRDefault="009E16E1" w:rsidP="009E16E1">
      <w:pPr>
        <w:rPr>
          <w:rFonts w:cs="Arial"/>
          <w:szCs w:val="22"/>
          <w:lang w:val="fr-CI"/>
        </w:rPr>
      </w:pPr>
      <w:r w:rsidRPr="00012EF1">
        <w:rPr>
          <w:rFonts w:cs="Arial"/>
          <w:szCs w:val="22"/>
          <w:lang w:val="fr-CI"/>
        </w:rPr>
        <w:t xml:space="preserve">Pour les constructions à conserver, des dérogations au niveau du respect des exigences minimales peuvent être octroyées par </w:t>
      </w:r>
      <w:r>
        <w:rPr>
          <w:rFonts w:cs="Arial"/>
          <w:szCs w:val="22"/>
          <w:lang w:val="fr-CI"/>
        </w:rPr>
        <w:t>le bourgmestre</w:t>
      </w:r>
      <w:r w:rsidRPr="00012EF1">
        <w:rPr>
          <w:rFonts w:cs="Arial"/>
          <w:szCs w:val="22"/>
          <w:lang w:val="fr-CI"/>
        </w:rPr>
        <w:t>, ceci afin que le caractère et la valeur historique de ces bâtiments puissent être sauvegardés. Ces dérogations sont expressément prévues par les textes suivants :</w:t>
      </w:r>
    </w:p>
    <w:p w:rsidR="009E16E1" w:rsidRPr="00E279FC" w:rsidRDefault="009E16E1" w:rsidP="009E16E1">
      <w:pPr>
        <w:numPr>
          <w:ilvl w:val="0"/>
          <w:numId w:val="2"/>
        </w:numPr>
        <w:ind w:left="714" w:hanging="357"/>
        <w:rPr>
          <w:rFonts w:cs="Arial"/>
          <w:szCs w:val="22"/>
          <w:lang w:val="fr-LU"/>
        </w:rPr>
      </w:pPr>
      <w:r w:rsidRPr="00E279FC">
        <w:rPr>
          <w:rFonts w:cs="Arial"/>
          <w:szCs w:val="22"/>
          <w:lang w:val="fr-LU"/>
        </w:rPr>
        <w:t>article 10 du règlement grand-ducal du 31 août 2010 concernant la performance énergétique des bâtiments fonctionnels</w:t>
      </w:r>
    </w:p>
    <w:p w:rsidR="009E16E1" w:rsidRDefault="009E16E1" w:rsidP="009E16E1">
      <w:pPr>
        <w:numPr>
          <w:ilvl w:val="0"/>
          <w:numId w:val="2"/>
        </w:numPr>
        <w:ind w:left="714" w:hanging="357"/>
        <w:rPr>
          <w:rFonts w:cs="Arial"/>
          <w:szCs w:val="22"/>
          <w:lang w:val="fr-LU"/>
        </w:rPr>
      </w:pPr>
      <w:proofErr w:type="gramStart"/>
      <w:r w:rsidRPr="00E279FC">
        <w:rPr>
          <w:rFonts w:cs="Arial"/>
          <w:szCs w:val="22"/>
          <w:lang w:val="fr-LU"/>
        </w:rPr>
        <w:lastRenderedPageBreak/>
        <w:t>article</w:t>
      </w:r>
      <w:proofErr w:type="gramEnd"/>
      <w:r w:rsidRPr="00E279FC">
        <w:rPr>
          <w:rFonts w:cs="Arial"/>
          <w:szCs w:val="22"/>
          <w:lang w:val="fr-LU"/>
        </w:rPr>
        <w:t xml:space="preserve"> 20, point 22, du règlement grand-ducal du 31 août 2010 concernant la performance énergétique des bâtiments fonctionnels modifiant le règlement grand-ducal modifié du 30 novembre 2007 concernant la performance énergétique des bâtiments d’habitation.</w:t>
      </w:r>
    </w:p>
    <w:p w:rsidR="00670122" w:rsidRDefault="00670122" w:rsidP="00670122">
      <w:pPr>
        <w:rPr>
          <w:rFonts w:cs="Arial"/>
          <w:szCs w:val="22"/>
          <w:lang w:val="fr-LU"/>
        </w:rPr>
      </w:pPr>
    </w:p>
    <w:p w:rsidR="009E16E1" w:rsidRPr="00012EF1" w:rsidRDefault="00670122" w:rsidP="00670122">
      <w:pPr>
        <w:pStyle w:val="Heading2"/>
        <w:rPr>
          <w:lang w:val="fr-LU"/>
        </w:rPr>
      </w:pPr>
      <w:bookmarkStart w:id="4" w:name="_Toc32992378"/>
      <w:r>
        <w:rPr>
          <w:lang w:val="fr-LU"/>
        </w:rPr>
        <w:t xml:space="preserve">Art. </w:t>
      </w:r>
      <w:r w:rsidR="009E16E1">
        <w:rPr>
          <w:lang w:val="fr-LU"/>
        </w:rPr>
        <w:t>18.8</w:t>
      </w:r>
      <w:r w:rsidR="009E16E1" w:rsidRPr="00012EF1">
        <w:rPr>
          <w:lang w:val="fr-LU"/>
        </w:rPr>
        <w:t xml:space="preserve"> </w:t>
      </w:r>
      <w:r w:rsidR="009E16E1" w:rsidRPr="00012EF1">
        <w:rPr>
          <w:lang w:val="fr-CI"/>
        </w:rPr>
        <w:t>Autorisations et avis</w:t>
      </w:r>
      <w:bookmarkEnd w:id="4"/>
    </w:p>
    <w:p w:rsidR="009E16E1" w:rsidRPr="00012EF1" w:rsidRDefault="009E16E1" w:rsidP="009E16E1">
      <w:pPr>
        <w:rPr>
          <w:rFonts w:cs="Arial"/>
          <w:szCs w:val="22"/>
          <w:lang w:val="fr-CI"/>
        </w:rPr>
      </w:pPr>
      <w:r w:rsidRPr="00012EF1">
        <w:rPr>
          <w:rFonts w:cs="Arial"/>
          <w:szCs w:val="22"/>
          <w:lang w:val="fr-CI"/>
        </w:rPr>
        <w:t>La démolition de bâtiments situés dans le périmètre du secteur protégé n’est autorisée que pour autant que le propriétaire soit détenteur d’une autorisation de construire et sans porter préjudice aux prescriptions du présent règlement.</w:t>
      </w:r>
    </w:p>
    <w:p w:rsidR="009E16E1" w:rsidRPr="00012EF1" w:rsidRDefault="009E16E1" w:rsidP="009E16E1">
      <w:pPr>
        <w:rPr>
          <w:rFonts w:cs="Arial"/>
          <w:szCs w:val="22"/>
          <w:lang w:val="fr-CI"/>
        </w:rPr>
      </w:pPr>
      <w:r w:rsidRPr="00012EF1">
        <w:rPr>
          <w:rFonts w:cs="Arial"/>
          <w:szCs w:val="22"/>
          <w:lang w:val="fr-CI"/>
        </w:rPr>
        <w:t>Toute demande d’autorisation de construire concernant un « gabarit préservé » doit être accompagnée d’un lever topographique, qui définit de manière précise les limites cadastrales ainsi que l’implantation du bâti existant par rapport à ces limites et d’un lever qui définit de manière précise le gabarit du bâti existant, réalisés par un géomètre officiel.</w:t>
      </w:r>
    </w:p>
    <w:p w:rsidR="00412836" w:rsidRPr="009E16E1" w:rsidRDefault="009E16E1">
      <w:pPr>
        <w:rPr>
          <w:lang w:val="fr-CI"/>
        </w:rPr>
      </w:pPr>
      <w:r w:rsidRPr="00012EF1">
        <w:rPr>
          <w:rFonts w:cs="Arial"/>
          <w:szCs w:val="22"/>
          <w:lang w:val="fr-CI"/>
        </w:rPr>
        <w:t>La démolition d’un bâtiment protégé peut être autorisée exceptionnellement en cas de menace pour la sécurité de tiers.</w:t>
      </w:r>
      <w:bookmarkStart w:id="5" w:name="_GoBack"/>
      <w:bookmarkEnd w:id="5"/>
    </w:p>
    <w:sectPr w:rsidR="00412836" w:rsidRPr="009E16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6F460D51"/>
    <w:multiLevelType w:val="hybridMultilevel"/>
    <w:tmpl w:val="A9CA562A"/>
    <w:lvl w:ilvl="0" w:tplc="3CD07A5C">
      <w:numFmt w:val="bullet"/>
      <w:lvlText w:val="-"/>
      <w:lvlJc w:val="left"/>
      <w:pPr>
        <w:ind w:left="720" w:hanging="360"/>
      </w:pPr>
      <w:rPr>
        <w:rFonts w:ascii="Arial" w:eastAsia="Times New Roman"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6E1"/>
    <w:rsid w:val="00412836"/>
    <w:rsid w:val="00670122"/>
    <w:rsid w:val="009E16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C7152"/>
  <w15:chartTrackingRefBased/>
  <w15:docId w15:val="{6EEEC2F5-9570-4235-BED7-1D6E37E2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122"/>
    <w:pPr>
      <w:spacing w:after="0" w:line="360" w:lineRule="auto"/>
      <w:jc w:val="both"/>
    </w:pPr>
    <w:rPr>
      <w:rFonts w:ascii="Arial" w:eastAsia="Times New Roman" w:hAnsi="Arial" w:cs="Times New Roman"/>
      <w:szCs w:val="20"/>
      <w:lang w:eastAsia="de-DE"/>
    </w:rPr>
  </w:style>
  <w:style w:type="paragraph" w:styleId="Heading1">
    <w:name w:val="heading 1"/>
    <w:basedOn w:val="Normal"/>
    <w:next w:val="Normal"/>
    <w:link w:val="Heading1Char"/>
    <w:uiPriority w:val="9"/>
    <w:qFormat/>
    <w:rsid w:val="00670122"/>
    <w:pPr>
      <w:keepNext/>
      <w:keepLines/>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qFormat/>
    <w:rsid w:val="00670122"/>
    <w:pPr>
      <w:keepNext/>
      <w:outlineLvl w:val="1"/>
    </w:pPr>
    <w:rPr>
      <w:rFonts w:eastAsia="Arial Unicode MS"/>
      <w:b/>
      <w:sz w:val="24"/>
      <w:u w:val="single"/>
    </w:rPr>
  </w:style>
  <w:style w:type="paragraph" w:styleId="Heading3">
    <w:name w:val="heading 3"/>
    <w:basedOn w:val="Normal"/>
    <w:next w:val="Normal"/>
    <w:link w:val="Heading3Char"/>
    <w:qFormat/>
    <w:rsid w:val="009E16E1"/>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9E16E1"/>
    <w:pPr>
      <w:keepNext/>
      <w:numPr>
        <w:ilvl w:val="3"/>
        <w:numId w:val="1"/>
      </w:numPr>
      <w:spacing w:before="360"/>
      <w:outlineLvl w:val="3"/>
    </w:pPr>
    <w:rPr>
      <w:b/>
      <w:lang w:val="fr-CH"/>
    </w:rPr>
  </w:style>
  <w:style w:type="paragraph" w:styleId="Heading5">
    <w:name w:val="heading 5"/>
    <w:basedOn w:val="Normal"/>
    <w:next w:val="Normal"/>
    <w:link w:val="Heading5Char"/>
    <w:qFormat/>
    <w:rsid w:val="009E16E1"/>
    <w:pPr>
      <w:keepNext/>
      <w:numPr>
        <w:ilvl w:val="4"/>
        <w:numId w:val="1"/>
      </w:numPr>
      <w:outlineLvl w:val="4"/>
    </w:pPr>
    <w:rPr>
      <w:b/>
      <w:lang w:val="fr-CH"/>
    </w:rPr>
  </w:style>
  <w:style w:type="paragraph" w:styleId="Heading6">
    <w:name w:val="heading 6"/>
    <w:basedOn w:val="Normal"/>
    <w:next w:val="Normal"/>
    <w:link w:val="Heading6Char"/>
    <w:qFormat/>
    <w:rsid w:val="009E16E1"/>
    <w:pPr>
      <w:keepNext/>
      <w:numPr>
        <w:ilvl w:val="5"/>
        <w:numId w:val="1"/>
      </w:numPr>
      <w:outlineLvl w:val="5"/>
    </w:pPr>
    <w:rPr>
      <w:b/>
      <w:i/>
      <w:lang w:val="fr-CH"/>
    </w:rPr>
  </w:style>
  <w:style w:type="paragraph" w:styleId="Heading8">
    <w:name w:val="heading 8"/>
    <w:basedOn w:val="Normal"/>
    <w:next w:val="Normal"/>
    <w:link w:val="Heading8Char"/>
    <w:qFormat/>
    <w:rsid w:val="009E16E1"/>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9E16E1"/>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70122"/>
    <w:rPr>
      <w:rFonts w:ascii="Arial" w:eastAsia="Arial Unicode MS" w:hAnsi="Arial" w:cs="Times New Roman"/>
      <w:b/>
      <w:sz w:val="24"/>
      <w:szCs w:val="20"/>
      <w:u w:val="single"/>
      <w:lang w:eastAsia="de-DE"/>
    </w:rPr>
  </w:style>
  <w:style w:type="character" w:customStyle="1" w:styleId="Heading3Char">
    <w:name w:val="Heading 3 Char"/>
    <w:basedOn w:val="DefaultParagraphFont"/>
    <w:link w:val="Heading3"/>
    <w:rsid w:val="009E16E1"/>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9E16E1"/>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9E16E1"/>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9E16E1"/>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9E16E1"/>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9E16E1"/>
    <w:rPr>
      <w:rFonts w:ascii="Helvetica" w:eastAsia="Times" w:hAnsi="Helvetica" w:cs="Times New Roman"/>
      <w:sz w:val="20"/>
      <w:szCs w:val="20"/>
      <w:lang w:eastAsia="de-DE"/>
    </w:rPr>
  </w:style>
  <w:style w:type="paragraph" w:styleId="ListBullet2">
    <w:name w:val="List Bullet 2"/>
    <w:basedOn w:val="Normal"/>
    <w:autoRedefine/>
    <w:rsid w:val="009E16E1"/>
    <w:pPr>
      <w:numPr>
        <w:numId w:val="1"/>
      </w:numPr>
      <w:suppressAutoHyphens/>
      <w:spacing w:line="320" w:lineRule="atLeast"/>
    </w:pPr>
  </w:style>
  <w:style w:type="character" w:customStyle="1" w:styleId="Heading1Char">
    <w:name w:val="Heading 1 Char"/>
    <w:basedOn w:val="DefaultParagraphFont"/>
    <w:link w:val="Heading1"/>
    <w:uiPriority w:val="9"/>
    <w:rsid w:val="00670122"/>
    <w:rPr>
      <w:rFonts w:ascii="Arial" w:eastAsiaTheme="majorEastAsia" w:hAnsi="Arial" w:cstheme="majorBidi"/>
      <w:b/>
      <w:sz w:val="28"/>
      <w:szCs w:val="32"/>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2</cp:revision>
  <dcterms:created xsi:type="dcterms:W3CDTF">2020-02-19T07:41:00Z</dcterms:created>
  <dcterms:modified xsi:type="dcterms:W3CDTF">2020-08-25T13:54:00Z</dcterms:modified>
  <cp:contentStatus>Endgültig</cp:contentStatus>
</cp:coreProperties>
</file>