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2C" w:rsidRDefault="00274D2C" w:rsidP="001D50CF">
      <w:pPr>
        <w:pStyle w:val="Heading1"/>
      </w:pPr>
      <w:bookmarkStart w:id="0" w:name="_Toc32992383"/>
      <w:r>
        <w:t>Art. 23</w:t>
      </w:r>
      <w:r w:rsidR="001D50CF">
        <w:t xml:space="preserve"> </w:t>
      </w:r>
      <w:r>
        <w:t xml:space="preserve">Les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délimitant</w:t>
      </w:r>
      <w:proofErr w:type="spellEnd"/>
      <w:r>
        <w:t xml:space="preserve"> les fonds soumis à l’élaboration d’un plan d’aménagement particulier « nouveau quartier »</w:t>
      </w:r>
      <w:r w:rsidRPr="00527382">
        <w:t xml:space="preserve"> </w:t>
      </w:r>
      <w:r>
        <w:t>(PAP NQ)</w:t>
      </w:r>
      <w:bookmarkEnd w:id="0"/>
    </w:p>
    <w:p w:rsidR="00274D2C" w:rsidRDefault="00274D2C" w:rsidP="001D50CF">
      <w:pPr>
        <w:rPr>
          <w:lang w:val="fr-FR"/>
        </w:rPr>
      </w:pPr>
      <w:bookmarkStart w:id="1" w:name="_Toc269300234"/>
      <w:bookmarkStart w:id="2" w:name="_Toc269301116"/>
      <w:bookmarkStart w:id="3" w:name="_Toc290623643"/>
      <w:bookmarkStart w:id="4" w:name="_Toc297299966"/>
      <w:bookmarkStart w:id="5" w:name="_Toc302742261"/>
      <w:bookmarkStart w:id="6" w:name="_Toc302742440"/>
      <w:bookmarkStart w:id="7" w:name="_Toc302742617"/>
      <w:bookmarkStart w:id="8" w:name="_Toc302742795"/>
      <w:bookmarkStart w:id="9" w:name="_Toc302742973"/>
      <w:bookmarkStart w:id="10" w:name="_Toc302743150"/>
      <w:bookmarkStart w:id="11" w:name="_Toc302743328"/>
      <w:bookmarkStart w:id="12" w:name="_Toc302743505"/>
      <w:bookmarkStart w:id="13" w:name="_Toc302743683"/>
      <w:bookmarkStart w:id="14" w:name="_Toc303146703"/>
      <w:bookmarkStart w:id="15" w:name="_Toc303146882"/>
      <w:bookmarkStart w:id="16" w:name="_Toc303147282"/>
      <w:bookmarkStart w:id="17" w:name="_Toc303147460"/>
      <w:bookmarkStart w:id="18" w:name="_Toc303167194"/>
      <w:bookmarkStart w:id="19" w:name="_Toc303329830"/>
      <w:bookmarkStart w:id="20" w:name="_Toc306972714"/>
      <w:bookmarkStart w:id="21" w:name="_Toc308004271"/>
      <w:bookmarkStart w:id="22" w:name="_Toc308006155"/>
      <w:bookmarkStart w:id="23" w:name="_Toc364853084"/>
      <w:bookmarkStart w:id="24" w:name="_Toc364853273"/>
      <w:bookmarkStart w:id="25" w:name="_Toc364853461"/>
      <w:bookmarkStart w:id="26" w:name="_Toc364853650"/>
      <w:bookmarkStart w:id="27" w:name="_Toc364853836"/>
      <w:bookmarkStart w:id="28" w:name="_Toc364853996"/>
      <w:bookmarkStart w:id="29" w:name="_Toc364854373"/>
      <w:bookmarkStart w:id="30" w:name="_Toc364854561"/>
      <w:bookmarkStart w:id="31" w:name="_Toc3654480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lang w:val="fr-FR"/>
        </w:rPr>
        <w:t>Le développement urbain dans ces zones est orienté par le schéma directeur</w:t>
      </w:r>
      <w:r w:rsidRPr="00527382">
        <w:rPr>
          <w:snapToGrid w:val="0"/>
          <w:lang w:val="fr-FR"/>
        </w:rPr>
        <w:t xml:space="preserve"> </w:t>
      </w:r>
      <w:r w:rsidRPr="00CE2D77">
        <w:rPr>
          <w:snapToGrid w:val="0"/>
          <w:lang w:val="fr-FR"/>
        </w:rPr>
        <w:t>couvrant les fonds concernés.</w:t>
      </w:r>
      <w:r>
        <w:rPr>
          <w:lang w:val="fr-FR"/>
        </w:rPr>
        <w:t xml:space="preserve"> </w:t>
      </w:r>
    </w:p>
    <w:p w:rsidR="00412836" w:rsidRPr="00274D2C" w:rsidRDefault="00274D2C" w:rsidP="001D50CF">
      <w:pPr>
        <w:rPr>
          <w:lang w:val="fr-FR"/>
        </w:rPr>
      </w:pPr>
      <w:r w:rsidRPr="00CE2D77">
        <w:rPr>
          <w:snapToGrid w:val="0"/>
          <w:lang w:val="fr-FR"/>
        </w:rPr>
        <w:t>L’urbanisation d’une telle zone fait l’objet d’un ou de plusieurs plans d’aménagement</w:t>
      </w:r>
      <w:r>
        <w:rPr>
          <w:snapToGrid w:val="0"/>
          <w:lang w:val="fr-FR"/>
        </w:rPr>
        <w:t xml:space="preserve"> </w:t>
      </w:r>
      <w:r w:rsidRPr="00CE2D77">
        <w:rPr>
          <w:snapToGrid w:val="0"/>
          <w:lang w:val="fr-FR"/>
        </w:rPr>
        <w:t>particulier « nouveau quartier » (PAP NQ)</w:t>
      </w:r>
      <w:r>
        <w:rPr>
          <w:snapToGrid w:val="0"/>
          <w:lang w:val="fr-FR"/>
        </w:rPr>
        <w:t>.</w:t>
      </w:r>
      <w:bookmarkStart w:id="32" w:name="_GoBack"/>
      <w:bookmarkEnd w:id="32"/>
    </w:p>
    <w:sectPr w:rsidR="00412836" w:rsidRPr="00274D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2C"/>
    <w:rsid w:val="001D50CF"/>
    <w:rsid w:val="00274D2C"/>
    <w:rsid w:val="0041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16AB"/>
  <w15:chartTrackingRefBased/>
  <w15:docId w15:val="{27E9F1ED-5C80-4BD7-BC9D-6C255191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0CF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0CF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74D2C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74D2C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274D2C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274D2C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274D2C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274D2C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274D2C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74D2C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274D2C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274D2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274D2C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274D2C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274D2C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274D2C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274D2C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1D50CF"/>
    <w:rPr>
      <w:rFonts w:ascii="Arial" w:eastAsiaTheme="majorEastAsia" w:hAnsi="Arial" w:cstheme="majorBidi"/>
      <w:b/>
      <w:sz w:val="28"/>
      <w:szCs w:val="32"/>
      <w:u w:val="single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2020-02-19T07:36:00Z</dcterms:created>
  <dcterms:modified xsi:type="dcterms:W3CDTF">2020-08-25T07:08:00Z</dcterms:modified>
  <cp:contentStatus>Endgültig</cp:contentStatus>
</cp:coreProperties>
</file>