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89459" w14:textId="39C9E2DC" w:rsidR="00422C04" w:rsidRDefault="00422C04" w:rsidP="00424058">
      <w:pPr>
        <w:pStyle w:val="Heading1"/>
      </w:pPr>
      <w:r>
        <w:t>Art. 2 Zones mixtes</w:t>
      </w:r>
    </w:p>
    <w:p w14:paraId="72BFEC87" w14:textId="502335AB" w:rsidR="00422C04" w:rsidRDefault="00422C04" w:rsidP="00422C04">
      <w:r>
        <w:t>On distingue:</w:t>
      </w:r>
    </w:p>
    <w:p w14:paraId="5A402A87" w14:textId="7051907D" w:rsidR="003900B2" w:rsidRDefault="00422C04" w:rsidP="003900B2">
      <w:pPr>
        <w:ind w:left="720"/>
      </w:pPr>
      <w:r>
        <w:t>1. la zone mixte villageoise [</w:t>
      </w:r>
      <w:proofErr w:type="spellStart"/>
      <w:r>
        <w:t>MIX-v</w:t>
      </w:r>
      <w:proofErr w:type="spellEnd"/>
      <w:r>
        <w:t>]</w:t>
      </w:r>
      <w:bookmarkStart w:id="0" w:name="_GoBack"/>
      <w:bookmarkEnd w:id="0"/>
    </w:p>
    <w:p w14:paraId="3E958E93" w14:textId="77777777" w:rsidR="00422C04" w:rsidRDefault="00422C04" w:rsidP="00422C04">
      <w:pPr>
        <w:ind w:left="720"/>
      </w:pPr>
      <w:r>
        <w:t>2. la zone mixte rurale [</w:t>
      </w:r>
      <w:proofErr w:type="spellStart"/>
      <w:r>
        <w:t>MIX-r</w:t>
      </w:r>
      <w:proofErr w:type="spellEnd"/>
      <w:r>
        <w:t>].</w:t>
      </w:r>
    </w:p>
    <w:p w14:paraId="0A8B6BC8" w14:textId="71CEBE41" w:rsidR="00422C04" w:rsidRDefault="00422C04" w:rsidP="00422C04">
      <w:pPr>
        <w:pStyle w:val="Heading2"/>
      </w:pPr>
      <w:r>
        <w:t>Art. 2.1 Zone mixte villageoise [</w:t>
      </w:r>
      <w:proofErr w:type="spellStart"/>
      <w:r>
        <w:t>MIX-v</w:t>
      </w:r>
      <w:proofErr w:type="spellEnd"/>
      <w:r>
        <w:t>]</w:t>
      </w:r>
    </w:p>
    <w:p w14:paraId="21B28AFC" w14:textId="77777777" w:rsidR="00422C04" w:rsidRDefault="00422C04" w:rsidP="00422C04">
      <w:r>
        <w:t>La zone mixte villageoise couvre les localités ou parties de localités à caractère rural. Elle est destinée à accueillir des habitations, des exploitations agricoles, des centres équestres, des activités artisanales, des activités de commerce dont la surface de vente est limitée à 2.000 m</w:t>
      </w:r>
      <w:r w:rsidRPr="00422C04">
        <w:rPr>
          <w:vertAlign w:val="superscript"/>
        </w:rPr>
        <w:t>2</w:t>
      </w:r>
      <w: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38FDEE07" w14:textId="5E74E88C" w:rsidR="006605E2" w:rsidRPr="007D461A" w:rsidRDefault="00422C04" w:rsidP="00422C04">
      <w:r>
        <w:t>Pour tout plan d’aménagement particulier « nouveau quartier », la part minimale de la surface construite brute à réserver à l’habitation ne pourra être inférieure à 50 pour cent et au moins 60 pour cent des logements est de type maison unifamiliale.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00B2"/>
    <w:rsid w:val="0039622D"/>
    <w:rsid w:val="00397462"/>
    <w:rsid w:val="003A681A"/>
    <w:rsid w:val="00422C04"/>
    <w:rsid w:val="0042405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2022-04-04T12:32:00Z</dcterms:modified>
</cp:coreProperties>
</file>