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A8193E" w14:textId="50F0FF4F" w:rsidR="00EE78AF" w:rsidRPr="00EE78AF" w:rsidRDefault="002829BC" w:rsidP="00EE78AF">
      <w:pPr>
        <w:pStyle w:val="Heading1"/>
      </w:pPr>
      <w:r>
        <w:t>Art. 13 Zones d’urbanisation prioritaire</w:t>
      </w:r>
      <w:bookmarkStart w:id="0" w:name="_GoBack"/>
      <w:bookmarkEnd w:id="0"/>
    </w:p>
    <w:p w14:paraId="38FDEE07" w14:textId="0F89D4E9" w:rsidR="006605E2" w:rsidRDefault="002829BC" w:rsidP="002829BC">
      <w:r>
        <w:t>Les zones d’urbanisation prioritaire constituent des zones superposées destinées à garantir une utilisation rationnelle du sol dans le temps.</w:t>
      </w:r>
    </w:p>
    <w:p w14:paraId="7BEE13DE" w14:textId="77777777" w:rsidR="002829BC" w:rsidRDefault="002829BC" w:rsidP="002829BC">
      <w:r>
        <w:t>La zone d’urbanisation prioritaire comporte des fonds destinés à être urbanisés pendant une période à déterminer en fonction des spécificités du site. Cette période ne pouvant dépasser douze ans, court à partir de l’entrée en vigueur du plan d’aménagement général.</w:t>
      </w:r>
    </w:p>
    <w:p w14:paraId="777D3297" w14:textId="77777777" w:rsidR="002829BC" w:rsidRDefault="002829BC" w:rsidP="002829BC">
      <w:r>
        <w:t>Dépassé le délai défini conformément à l’alinéa 2, les fonds couverts par la zone d’urbanisation prioritaire, pour lesquels aucun plan d’aménagement particulier n’a été mis en exécution, sont considérés zones d’aménagement différé telles que définies à l’Art. 28 du règlement grand-ducal du 8 mars 2017 concernant le contenu du plan d’aménagement général d’une commune.</w:t>
      </w:r>
    </w:p>
    <w:p w14:paraId="190AD04E" w14:textId="77777777" w:rsidR="002829BC" w:rsidRDefault="002829BC" w:rsidP="002829BC">
      <w:r>
        <w:t>Le délai fixé à l’alinéa 2 peut être prorogé pour une durée maximale de trois ans par une délibération motivée du conseil communal.</w:t>
      </w:r>
    </w:p>
    <w:p w14:paraId="4EE60725" w14:textId="069DF3E6" w:rsidR="002829BC" w:rsidRDefault="002829BC" w:rsidP="002829BC">
      <w:r>
        <w:t xml:space="preserve">En ce qui concerne la zone d’urbanisation prioritaire prévue sur la partie graphique du PAG pour la zone soumise à PAP nouveau quartier, intitulée SA09 « An der </w:t>
      </w:r>
      <w:proofErr w:type="spellStart"/>
      <w:r>
        <w:t>Helzent</w:t>
      </w:r>
      <w:proofErr w:type="spellEnd"/>
      <w:r>
        <w:t xml:space="preserve"> » à </w:t>
      </w:r>
      <w:proofErr w:type="spellStart"/>
      <w:r>
        <w:t>Saeul</w:t>
      </w:r>
      <w:proofErr w:type="spellEnd"/>
      <w:r>
        <w:t>, cette période est fixée à douze ans.</w:t>
      </w:r>
    </w:p>
    <w:p w14:paraId="35B9BAD9" w14:textId="35D4F783" w:rsidR="002829BC" w:rsidRPr="007D461A" w:rsidRDefault="002829BC" w:rsidP="002829BC">
      <w:r>
        <w:t>Au sens du présent article, un plan d’aménagement particulier « nouveau quartier » est considéré comme étant mis en exécution à compter du jour de la réception définitive, par l’autorité communale, de l’intégrité des infrastructures nécessaires à la viabilité dudit PAP, telles que définies dans le projet d’exécution et de la convention d’exécution de celui-ci.</w:t>
      </w:r>
    </w:p>
    <w:sectPr w:rsidR="002829BC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829BC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EE78AF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2022-04-04T12:30:00Z</dcterms:modified>
</cp:coreProperties>
</file>