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3EF68" w14:textId="77777777" w:rsidR="004F07B3" w:rsidRPr="004F07B3" w:rsidRDefault="004F07B3" w:rsidP="004F07B3">
      <w:pPr>
        <w:pStyle w:val="Heading1"/>
        <w:rPr>
          <w:lang w:val="fr-FR"/>
        </w:rPr>
      </w:pPr>
      <w:r w:rsidRPr="004F07B3">
        <w:rPr>
          <w:lang w:val="fr-FR"/>
        </w:rPr>
        <w:t xml:space="preserve">Art. 17 PAP QE – Zone spéciale – </w:t>
      </w:r>
      <w:proofErr w:type="spellStart"/>
      <w:r w:rsidRPr="004F07B3">
        <w:rPr>
          <w:lang w:val="fr-FR"/>
        </w:rPr>
        <w:t>Sotel</w:t>
      </w:r>
      <w:proofErr w:type="spellEnd"/>
      <w:r w:rsidRPr="004F07B3">
        <w:rPr>
          <w:lang w:val="fr-FR"/>
        </w:rPr>
        <w:t xml:space="preserve"> [SPEC-s]</w:t>
      </w:r>
    </w:p>
    <w:p w14:paraId="67244E4F" w14:textId="6C3C1A96" w:rsidR="004F07B3" w:rsidRPr="004F07B3" w:rsidRDefault="004F07B3" w:rsidP="004F07B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17.1 Destination</w:t>
      </w:r>
    </w:p>
    <w:p w14:paraId="76DD0B55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 xml:space="preserve">Le PAP QE de la zone spéciale – </w:t>
      </w:r>
      <w:proofErr w:type="spellStart"/>
      <w:r w:rsidRPr="004F07B3">
        <w:rPr>
          <w:lang w:val="fr-FR"/>
        </w:rPr>
        <w:t>Sotel</w:t>
      </w:r>
      <w:proofErr w:type="spellEnd"/>
      <w:r w:rsidRPr="004F07B3">
        <w:rPr>
          <w:lang w:val="fr-FR"/>
        </w:rPr>
        <w:t xml:space="preserve"> est destiné à recevoir des bâtiments et aménagements en relation avec la Société de Transport d'Energie Electrique du Grand-Duché de Luxembourg SC.</w:t>
      </w:r>
    </w:p>
    <w:p w14:paraId="1908A588" w14:textId="37BB1A16" w:rsidR="004F07B3" w:rsidRPr="004F07B3" w:rsidRDefault="004F07B3" w:rsidP="004F07B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17.2 Agencement des constructions</w:t>
      </w:r>
      <w:bookmarkStart w:id="0" w:name="_GoBack"/>
      <w:bookmarkEnd w:id="0"/>
    </w:p>
    <w:p w14:paraId="7BC30A60" w14:textId="1FE4955C" w:rsidR="004F07B3" w:rsidRPr="004F07B3" w:rsidRDefault="004F07B3" w:rsidP="004F07B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17.2.1 Implantation</w:t>
      </w:r>
    </w:p>
    <w:p w14:paraId="0471F905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>Les constructions sont isolées, jumelées ou groupés en bande.</w:t>
      </w:r>
    </w:p>
    <w:p w14:paraId="236AD6E9" w14:textId="1F42BC52" w:rsidR="004F07B3" w:rsidRPr="004F07B3" w:rsidRDefault="004F07B3" w:rsidP="004F07B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17.2.2 Marge de reculement</w:t>
      </w:r>
    </w:p>
    <w:p w14:paraId="54C374EC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>Les marges de reculement sont mesurées selon les dispositions du chapitre 2.</w:t>
      </w:r>
    </w:p>
    <w:p w14:paraId="69695820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>Les reculs de la construction sur la limite de la parcelle sont de 6,00 mètres au minimum.</w:t>
      </w:r>
    </w:p>
    <w:p w14:paraId="0966AE07" w14:textId="5E3F5DB8" w:rsidR="004F07B3" w:rsidRPr="004F07B3" w:rsidRDefault="004F07B3" w:rsidP="004F07B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17.3 Gabarit des constructions</w:t>
      </w:r>
    </w:p>
    <w:p w14:paraId="432EF352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>La profondeur et la hauteur des constructions sont mesurées selon les dispositions du chapitre 2.</w:t>
      </w:r>
    </w:p>
    <w:p w14:paraId="7B397424" w14:textId="3FFB4412" w:rsidR="004F07B3" w:rsidRPr="004F07B3" w:rsidRDefault="004F07B3" w:rsidP="004F07B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17.3.1 Profondeur</w:t>
      </w:r>
    </w:p>
    <w:p w14:paraId="662983BC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>La profondeur des bâtiments est définie par la surface résultant des marges de reculement observées sur les limites de propriété.</w:t>
      </w:r>
    </w:p>
    <w:p w14:paraId="61AFAA79" w14:textId="256F336B" w:rsidR="004F07B3" w:rsidRPr="004F07B3" w:rsidRDefault="004F07B3" w:rsidP="004F07B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4F07B3">
        <w:rPr>
          <w:lang w:val="fr-FR"/>
        </w:rPr>
        <w:t>17.3.2 Hauteur</w:t>
      </w:r>
    </w:p>
    <w:p w14:paraId="2B2BC25E" w14:textId="77777777" w:rsidR="004F07B3" w:rsidRPr="004F07B3" w:rsidRDefault="004F07B3" w:rsidP="004F07B3">
      <w:pPr>
        <w:rPr>
          <w:lang w:val="fr-FR"/>
        </w:rPr>
      </w:pPr>
      <w:r w:rsidRPr="004F07B3">
        <w:rPr>
          <w:lang w:val="fr-FR"/>
        </w:rPr>
        <w:t>La hauteur totale des constructions est de 6,00 mètres au maximum.</w:t>
      </w:r>
    </w:p>
    <w:p w14:paraId="38FDEE07" w14:textId="48CC64E4" w:rsidR="006605E2" w:rsidRPr="006605E2" w:rsidRDefault="004F07B3" w:rsidP="004F07B3">
      <w:pPr>
        <w:rPr>
          <w:lang w:val="fr-FR"/>
        </w:rPr>
      </w:pPr>
      <w:r w:rsidRPr="004F07B3">
        <w:rPr>
          <w:lang w:val="fr-FR"/>
        </w:rPr>
        <w:t>Le bourgmestre peut autoriser une augmentation de la hauteur pour des constructions spéciales, notamment des équipements techniques.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F07B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2021-08-18T13:33:00Z</dcterms:modified>
</cp:coreProperties>
</file>