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90617" w14:textId="497D6046" w:rsidR="00975D2B" w:rsidRPr="00975D2B" w:rsidRDefault="00975D2B" w:rsidP="00975D2B">
      <w:pPr>
        <w:pStyle w:val="Heading1"/>
        <w:rPr>
          <w:lang w:val="fr-FR"/>
        </w:rPr>
      </w:pPr>
      <w:r w:rsidRPr="00975D2B">
        <w:rPr>
          <w:lang w:val="fr-FR"/>
        </w:rPr>
        <w:t>Art. 2</w:t>
      </w:r>
      <w:r>
        <w:rPr>
          <w:lang w:val="fr-FR"/>
        </w:rPr>
        <w:t xml:space="preserve"> Zone mixte</w:t>
      </w:r>
    </w:p>
    <w:p w14:paraId="5E6B65F6" w14:textId="69E342A8" w:rsidR="00975D2B" w:rsidRPr="00975D2B" w:rsidRDefault="00975D2B" w:rsidP="00975D2B">
      <w:pPr>
        <w:rPr>
          <w:lang w:val="fr-FR"/>
        </w:rPr>
      </w:pPr>
      <w:r w:rsidRPr="00975D2B">
        <w:rPr>
          <w:lang w:val="fr-FR"/>
        </w:rPr>
        <w:t>La zone mixte est constituée par la zone mixte villageoise [</w:t>
      </w:r>
      <w:proofErr w:type="spellStart"/>
      <w:r w:rsidRPr="00975D2B">
        <w:rPr>
          <w:lang w:val="fr-FR"/>
        </w:rPr>
        <w:t>MIX-v</w:t>
      </w:r>
      <w:proofErr w:type="spellEnd"/>
      <w:r w:rsidRPr="00975D2B">
        <w:rPr>
          <w:lang w:val="fr-FR"/>
        </w:rPr>
        <w:t>];</w:t>
      </w:r>
    </w:p>
    <w:p w14:paraId="593384C1" w14:textId="77777777" w:rsidR="00975D2B" w:rsidRPr="00975D2B" w:rsidRDefault="00975D2B" w:rsidP="00975D2B">
      <w:pPr>
        <w:rPr>
          <w:lang w:val="fr-FR"/>
        </w:rPr>
      </w:pPr>
      <w:r w:rsidRPr="00975D2B">
        <w:rPr>
          <w:lang w:val="fr-FR"/>
        </w:rPr>
        <w:t>La zone mixte villageoise couvre la partie centrale de la localité à caractère rural. Elle est destinée à accueillir des habitations, des activités artisanales, des activités de commerce dont la surface de vente est limitée à 2.000m</w:t>
      </w:r>
      <w:r w:rsidRPr="00975D2B">
        <w:rPr>
          <w:vertAlign w:val="superscript"/>
          <w:lang w:val="fr-FR"/>
        </w:rPr>
        <w:t>2</w:t>
      </w:r>
      <w:r w:rsidRPr="00975D2B">
        <w:rPr>
          <w:lang w:val="fr-FR"/>
        </w:rP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2878B9A8" w14:textId="77777777" w:rsidR="00975D2B" w:rsidRPr="00975D2B" w:rsidRDefault="00975D2B" w:rsidP="00975D2B">
      <w:pPr>
        <w:rPr>
          <w:lang w:val="fr-FR"/>
        </w:rPr>
      </w:pPr>
      <w:r w:rsidRPr="00975D2B">
        <w:rPr>
          <w:lang w:val="fr-FR"/>
        </w:rPr>
        <w:t>Dans cette zone, sont interdits tous les projets mentionnés aux annexes I, II, III et IV du règlement grand-ducal du 15 mai 2018 établissant les listes de projets soumis à une évaluation des incidences sur l’environnement.</w:t>
      </w:r>
    </w:p>
    <w:p w14:paraId="38FDEE07" w14:textId="224503DF" w:rsidR="006605E2" w:rsidRPr="006605E2" w:rsidRDefault="00975D2B" w:rsidP="00975D2B">
      <w:pPr>
        <w:rPr>
          <w:lang w:val="fr-FR"/>
        </w:rPr>
      </w:pPr>
      <w:r w:rsidRPr="00975D2B">
        <w:rPr>
          <w:lang w:val="fr-FR"/>
        </w:rPr>
        <w:t xml:space="preserve">Pour tout plan d’aménagement particulier </w:t>
      </w:r>
      <w:r>
        <w:rPr>
          <w:lang w:val="fr-FR"/>
        </w:rPr>
        <w:t>« </w:t>
      </w:r>
      <w:r w:rsidRPr="00975D2B">
        <w:rPr>
          <w:lang w:val="fr-FR"/>
        </w:rPr>
        <w:t>nouveau quartier</w:t>
      </w:r>
      <w:r>
        <w:rPr>
          <w:lang w:val="fr-FR"/>
        </w:rPr>
        <w:t> »</w:t>
      </w:r>
      <w:bookmarkStart w:id="0" w:name="_GoBack"/>
      <w:bookmarkEnd w:id="0"/>
      <w:r w:rsidRPr="00975D2B">
        <w:rPr>
          <w:lang w:val="fr-FR"/>
        </w:rPr>
        <w:t>, la part minimale de la surface construite brute à réserver à l’habitation ne pourra être inférieure à 50 pour cent.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75D2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2020-12-17T07:35:00Z</dcterms:modified>
</cp:coreProperties>
</file>