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50D0D" w14:textId="21FA4B29" w:rsidR="00303C0B" w:rsidRPr="00303C0B" w:rsidRDefault="00D27C5F" w:rsidP="00303C0B">
      <w:pPr>
        <w:pStyle w:val="Heading1"/>
      </w:pPr>
      <w:r>
        <w:t>Art. 16 Emplacements de stationnement</w:t>
      </w:r>
      <w:bookmarkStart w:id="0" w:name="_GoBack"/>
      <w:bookmarkEnd w:id="0"/>
    </w:p>
    <w:p w14:paraId="3EB2B82C" w14:textId="5EDB93EB" w:rsidR="00D27C5F" w:rsidRDefault="00D27C5F" w:rsidP="00D27C5F">
      <w:r>
        <w:t>Tout projet de construction, tout projet d’agrandissement ou de changement du mode d’affectation d’une construction existante doit prévoir des emplacements de stationnement dont le nombre dépend de la destination projetée et à aménager sur fonds privés.</w:t>
      </w:r>
    </w:p>
    <w:p w14:paraId="38FDEE07" w14:textId="68AC3F32" w:rsidR="006605E2" w:rsidRDefault="00D27C5F" w:rsidP="00D27C5F">
      <w:r>
        <w:t>Concernant les emplacements de stationnement pour voitures, sont à considérer comme minimum pour les destinations suivantes:</w:t>
      </w:r>
    </w:p>
    <w:tbl>
      <w:tblPr>
        <w:tblStyle w:val="TableGrid"/>
        <w:tblW w:w="0" w:type="auto"/>
        <w:tblLook w:val="04A0" w:firstRow="1" w:lastRow="0" w:firstColumn="1" w:lastColumn="0" w:noHBand="0" w:noVBand="1"/>
      </w:tblPr>
      <w:tblGrid>
        <w:gridCol w:w="5240"/>
        <w:gridCol w:w="3776"/>
      </w:tblGrid>
      <w:tr w:rsidR="00D27C5F" w14:paraId="4345F17B" w14:textId="77777777" w:rsidTr="00D27C5F">
        <w:trPr>
          <w:trHeight w:val="339"/>
        </w:trPr>
        <w:tc>
          <w:tcPr>
            <w:tcW w:w="5240" w:type="dxa"/>
            <w:shd w:val="clear" w:color="auto" w:fill="D9D9D9" w:themeFill="background1" w:themeFillShade="D9"/>
            <w:vAlign w:val="center"/>
          </w:tcPr>
          <w:p w14:paraId="10F8CED3" w14:textId="2F0A46E1" w:rsidR="00D27C5F" w:rsidRPr="00D27C5F" w:rsidRDefault="00D27C5F" w:rsidP="00D27C5F">
            <w:pPr>
              <w:pStyle w:val="NormalTableau"/>
              <w:jc w:val="center"/>
              <w:rPr>
                <w:b/>
                <w:u w:val="single"/>
              </w:rPr>
            </w:pPr>
            <w:r w:rsidRPr="00D27C5F">
              <w:rPr>
                <w:b/>
                <w:u w:val="single"/>
              </w:rPr>
              <w:t>Destination</w:t>
            </w:r>
          </w:p>
        </w:tc>
        <w:tc>
          <w:tcPr>
            <w:tcW w:w="3776" w:type="dxa"/>
            <w:shd w:val="clear" w:color="auto" w:fill="D9D9D9" w:themeFill="background1" w:themeFillShade="D9"/>
            <w:vAlign w:val="center"/>
          </w:tcPr>
          <w:p w14:paraId="342324C2" w14:textId="25AA9CDC" w:rsidR="00D27C5F" w:rsidRPr="00D27C5F" w:rsidRDefault="00D27C5F" w:rsidP="00D27C5F">
            <w:pPr>
              <w:pStyle w:val="NormalTableau"/>
              <w:jc w:val="center"/>
              <w:rPr>
                <w:b/>
                <w:u w:val="single"/>
              </w:rPr>
            </w:pPr>
            <w:r w:rsidRPr="00D27C5F">
              <w:rPr>
                <w:b/>
                <w:u w:val="single"/>
              </w:rPr>
              <w:t>Nombre d’emplacement de stationnement</w:t>
            </w:r>
          </w:p>
        </w:tc>
      </w:tr>
      <w:tr w:rsidR="00D27C5F" w14:paraId="58877D1C" w14:textId="77777777" w:rsidTr="00D27C5F">
        <w:trPr>
          <w:trHeight w:val="287"/>
        </w:trPr>
        <w:tc>
          <w:tcPr>
            <w:tcW w:w="5240" w:type="dxa"/>
            <w:vAlign w:val="center"/>
          </w:tcPr>
          <w:p w14:paraId="6D4DCEB4" w14:textId="4937CF7D" w:rsidR="00D27C5F" w:rsidRDefault="00D27C5F" w:rsidP="00D27C5F">
            <w:pPr>
              <w:pStyle w:val="NormalTableau"/>
              <w:jc w:val="left"/>
            </w:pPr>
            <w:r w:rsidRPr="00D27C5F">
              <w:t>Logements*</w:t>
            </w:r>
            <w:r>
              <w:t xml:space="preserve"> </w:t>
            </w:r>
            <w:r w:rsidRPr="00D27C5F">
              <w:t>d’une surface construite nette infé-rieure ou égale à 70 m</w:t>
            </w:r>
            <w:r w:rsidRPr="00D27C5F">
              <w:rPr>
                <w:vertAlign w:val="superscript"/>
              </w:rPr>
              <w:t>2</w:t>
            </w:r>
          </w:p>
        </w:tc>
        <w:tc>
          <w:tcPr>
            <w:tcW w:w="3776" w:type="dxa"/>
            <w:vAlign w:val="center"/>
          </w:tcPr>
          <w:p w14:paraId="5CFFB31E" w14:textId="6FAEC393" w:rsidR="00D27C5F" w:rsidRDefault="00D27C5F" w:rsidP="00D27C5F">
            <w:pPr>
              <w:pStyle w:val="NormalTableau"/>
              <w:jc w:val="left"/>
            </w:pPr>
            <w:r>
              <w:t>1 emplacement</w:t>
            </w:r>
            <w:r w:rsidRPr="00D27C5F">
              <w:t>/logement</w:t>
            </w:r>
          </w:p>
        </w:tc>
      </w:tr>
      <w:tr w:rsidR="00D27C5F" w14:paraId="253F91C7" w14:textId="77777777" w:rsidTr="00D27C5F">
        <w:trPr>
          <w:trHeight w:val="263"/>
        </w:trPr>
        <w:tc>
          <w:tcPr>
            <w:tcW w:w="5240" w:type="dxa"/>
            <w:vAlign w:val="center"/>
          </w:tcPr>
          <w:p w14:paraId="60D774A2" w14:textId="46C81721" w:rsidR="00D27C5F" w:rsidRDefault="00D27C5F" w:rsidP="00D27C5F">
            <w:pPr>
              <w:pStyle w:val="NormalTableau"/>
              <w:jc w:val="left"/>
            </w:pPr>
            <w:r w:rsidRPr="00D27C5F">
              <w:t>Logements* d’une surface construite nette su-périeure à 70 m</w:t>
            </w:r>
            <w:r w:rsidRPr="00D27C5F">
              <w:rPr>
                <w:vertAlign w:val="superscript"/>
              </w:rPr>
              <w:t>2</w:t>
            </w:r>
          </w:p>
        </w:tc>
        <w:tc>
          <w:tcPr>
            <w:tcW w:w="3776" w:type="dxa"/>
            <w:vAlign w:val="center"/>
          </w:tcPr>
          <w:p w14:paraId="44A26669" w14:textId="54843BB7" w:rsidR="00D27C5F" w:rsidRDefault="00D27C5F" w:rsidP="00D27C5F">
            <w:pPr>
              <w:pStyle w:val="NormalTableau"/>
              <w:jc w:val="left"/>
            </w:pPr>
            <w:r>
              <w:t>1,5 emplacements/</w:t>
            </w:r>
            <w:r w:rsidRPr="00D27C5F">
              <w:t>logement</w:t>
            </w:r>
          </w:p>
        </w:tc>
      </w:tr>
      <w:tr w:rsidR="00D27C5F" w14:paraId="1FCC2E41" w14:textId="77777777" w:rsidTr="00D27C5F">
        <w:trPr>
          <w:trHeight w:val="281"/>
        </w:trPr>
        <w:tc>
          <w:tcPr>
            <w:tcW w:w="9016" w:type="dxa"/>
            <w:gridSpan w:val="2"/>
            <w:vAlign w:val="center"/>
          </w:tcPr>
          <w:p w14:paraId="290AD64E" w14:textId="77777777" w:rsidR="00D27C5F" w:rsidRDefault="00D27C5F" w:rsidP="00D27C5F">
            <w:pPr>
              <w:pStyle w:val="NormalTableau"/>
              <w:jc w:val="left"/>
            </w:pPr>
          </w:p>
        </w:tc>
      </w:tr>
      <w:tr w:rsidR="00D27C5F" w14:paraId="31806666" w14:textId="77777777" w:rsidTr="00D27C5F">
        <w:trPr>
          <w:trHeight w:val="399"/>
        </w:trPr>
        <w:tc>
          <w:tcPr>
            <w:tcW w:w="5240" w:type="dxa"/>
            <w:vAlign w:val="center"/>
          </w:tcPr>
          <w:p w14:paraId="771724C3" w14:textId="1EFA5192" w:rsidR="00D27C5F" w:rsidRDefault="00D27C5F" w:rsidP="00D27C5F">
            <w:pPr>
              <w:pStyle w:val="NormalTableau"/>
              <w:jc w:val="left"/>
            </w:pPr>
            <w:r w:rsidRPr="00D27C5F">
              <w:t>Administrations, bureaux, commerces</w:t>
            </w:r>
          </w:p>
        </w:tc>
        <w:tc>
          <w:tcPr>
            <w:tcW w:w="3776" w:type="dxa"/>
            <w:vAlign w:val="center"/>
          </w:tcPr>
          <w:p w14:paraId="4DEA5309" w14:textId="7503EB00" w:rsidR="00D27C5F" w:rsidRDefault="00D27C5F" w:rsidP="00D27C5F">
            <w:pPr>
              <w:pStyle w:val="NormalTableau"/>
              <w:jc w:val="left"/>
            </w:pPr>
            <w:r w:rsidRPr="00D27C5F">
              <w:t>1 emplacement par tranche de 50 m</w:t>
            </w:r>
            <w:r w:rsidRPr="00D27C5F">
              <w:rPr>
                <w:vertAlign w:val="superscript"/>
              </w:rPr>
              <w:t>2</w:t>
            </w:r>
            <w:r w:rsidRPr="00D27C5F">
              <w:t xml:space="preserve"> de la surface construite brute</w:t>
            </w:r>
          </w:p>
        </w:tc>
      </w:tr>
      <w:tr w:rsidR="00D27C5F" w14:paraId="2A8C33A2" w14:textId="77777777" w:rsidTr="00D27C5F">
        <w:trPr>
          <w:trHeight w:val="276"/>
        </w:trPr>
        <w:tc>
          <w:tcPr>
            <w:tcW w:w="5240" w:type="dxa"/>
            <w:vAlign w:val="center"/>
          </w:tcPr>
          <w:p w14:paraId="44AF4ED5" w14:textId="7FA94C08" w:rsidR="00D27C5F" w:rsidRPr="00D27C5F" w:rsidRDefault="00D27C5F" w:rsidP="00D27C5F">
            <w:pPr>
              <w:pStyle w:val="NormalTableau"/>
              <w:jc w:val="left"/>
            </w:pPr>
            <w:r w:rsidRPr="00D27C5F">
              <w:t>Mini-crèche</w:t>
            </w:r>
          </w:p>
        </w:tc>
        <w:tc>
          <w:tcPr>
            <w:tcW w:w="3776" w:type="dxa"/>
            <w:vAlign w:val="center"/>
          </w:tcPr>
          <w:p w14:paraId="147012C1" w14:textId="77E97AAC" w:rsidR="00D27C5F" w:rsidRPr="00D27C5F" w:rsidRDefault="00D27C5F" w:rsidP="00D27C5F">
            <w:pPr>
              <w:pStyle w:val="NormalTableau"/>
              <w:jc w:val="left"/>
            </w:pPr>
            <w:r w:rsidRPr="00D27C5F">
              <w:t>3 emplacements par mini-crèche</w:t>
            </w:r>
          </w:p>
        </w:tc>
      </w:tr>
      <w:tr w:rsidR="00D27C5F" w14:paraId="2B1B0FF5" w14:textId="77777777" w:rsidTr="00D27C5F">
        <w:trPr>
          <w:trHeight w:val="423"/>
        </w:trPr>
        <w:tc>
          <w:tcPr>
            <w:tcW w:w="5240" w:type="dxa"/>
            <w:vAlign w:val="center"/>
          </w:tcPr>
          <w:p w14:paraId="02CDFC03" w14:textId="283426F1" w:rsidR="00D27C5F" w:rsidRPr="00D27C5F" w:rsidRDefault="00D27C5F" w:rsidP="00D27C5F">
            <w:pPr>
              <w:pStyle w:val="NormalTableau"/>
              <w:jc w:val="left"/>
            </w:pPr>
            <w:r w:rsidRPr="00D27C5F">
              <w:t>Cafés et restaurants</w:t>
            </w:r>
          </w:p>
        </w:tc>
        <w:tc>
          <w:tcPr>
            <w:tcW w:w="3776" w:type="dxa"/>
            <w:vAlign w:val="center"/>
          </w:tcPr>
          <w:p w14:paraId="3349A3BB" w14:textId="736F0185" w:rsidR="00D27C5F" w:rsidRPr="00D27C5F" w:rsidRDefault="00D27C5F" w:rsidP="00D27C5F">
            <w:pPr>
              <w:pStyle w:val="NormalTableau"/>
              <w:jc w:val="left"/>
            </w:pPr>
            <w:r w:rsidRPr="00D27C5F">
              <w:t>1 emplacement par tranche de 25 m</w:t>
            </w:r>
            <w:r w:rsidRPr="00D27C5F">
              <w:rPr>
                <w:vertAlign w:val="superscript"/>
              </w:rPr>
              <w:t>2</w:t>
            </w:r>
            <w:r w:rsidRPr="00D27C5F">
              <w:t xml:space="preserve"> de la surface construite brute</w:t>
            </w:r>
          </w:p>
        </w:tc>
      </w:tr>
      <w:tr w:rsidR="00D27C5F" w14:paraId="0F79A6BD" w14:textId="77777777" w:rsidTr="00D27C5F">
        <w:trPr>
          <w:trHeight w:val="698"/>
        </w:trPr>
        <w:tc>
          <w:tcPr>
            <w:tcW w:w="5240" w:type="dxa"/>
            <w:vAlign w:val="center"/>
          </w:tcPr>
          <w:p w14:paraId="29E28F28" w14:textId="12704575" w:rsidR="00D27C5F" w:rsidRPr="00D27C5F" w:rsidRDefault="00D27C5F" w:rsidP="00D27C5F">
            <w:pPr>
              <w:pStyle w:val="NormalTableau"/>
              <w:jc w:val="left"/>
            </w:pPr>
            <w:r>
              <w:t>Établissements artisanaux et industriels</w:t>
            </w:r>
          </w:p>
        </w:tc>
        <w:tc>
          <w:tcPr>
            <w:tcW w:w="3776" w:type="dxa"/>
            <w:vAlign w:val="center"/>
          </w:tcPr>
          <w:p w14:paraId="739AAA06" w14:textId="1B6AD9AE" w:rsidR="00D27C5F" w:rsidRPr="00D27C5F" w:rsidRDefault="00D27C5F" w:rsidP="00D27C5F">
            <w:pPr>
              <w:pStyle w:val="NormalTableau"/>
              <w:jc w:val="left"/>
            </w:pPr>
            <w:r w:rsidRPr="00D27C5F">
              <w:t>1 emplacement par tranche de 50 m</w:t>
            </w:r>
            <w:r w:rsidRPr="00D27C5F">
              <w:rPr>
                <w:vertAlign w:val="superscript"/>
              </w:rPr>
              <w:t>2</w:t>
            </w:r>
            <w:r w:rsidRPr="00D27C5F">
              <w:t xml:space="preserve"> de la surface construite brute (sauf les surfaces pour stockage de marchandises et de matériaux)</w:t>
            </w:r>
          </w:p>
        </w:tc>
      </w:tr>
      <w:tr w:rsidR="00D27C5F" w14:paraId="47A98F12" w14:textId="77777777" w:rsidTr="00D27C5F">
        <w:trPr>
          <w:trHeight w:val="553"/>
        </w:trPr>
        <w:tc>
          <w:tcPr>
            <w:tcW w:w="5240" w:type="dxa"/>
            <w:vAlign w:val="center"/>
          </w:tcPr>
          <w:p w14:paraId="26803292" w14:textId="2BAB026E" w:rsidR="00D27C5F" w:rsidRDefault="00D27C5F" w:rsidP="00D27C5F">
            <w:pPr>
              <w:pStyle w:val="NormalTableau"/>
              <w:jc w:val="left"/>
            </w:pPr>
            <w:r w:rsidRPr="00D27C5F">
              <w:t>Activités de stockage de marchandises et de matériaux</w:t>
            </w:r>
          </w:p>
        </w:tc>
        <w:tc>
          <w:tcPr>
            <w:tcW w:w="3776" w:type="dxa"/>
            <w:vAlign w:val="center"/>
          </w:tcPr>
          <w:p w14:paraId="1F20C81C" w14:textId="3E1B3923" w:rsidR="00D27C5F" w:rsidRPr="00D27C5F" w:rsidRDefault="00D27C5F" w:rsidP="00D27C5F">
            <w:pPr>
              <w:pStyle w:val="NormalTableau"/>
              <w:jc w:val="left"/>
            </w:pPr>
            <w:r w:rsidRPr="00D27C5F">
              <w:t>1 emplacement par tranche de 150 m</w:t>
            </w:r>
            <w:r w:rsidRPr="00D27C5F">
              <w:rPr>
                <w:vertAlign w:val="superscript"/>
              </w:rPr>
              <w:t>2</w:t>
            </w:r>
            <w:r w:rsidRPr="00D27C5F">
              <w:t xml:space="preserve"> de la surface d’emprise au sol</w:t>
            </w:r>
          </w:p>
        </w:tc>
      </w:tr>
      <w:tr w:rsidR="00D27C5F" w14:paraId="02C9D278" w14:textId="77777777" w:rsidTr="00D27C5F">
        <w:trPr>
          <w:trHeight w:val="419"/>
        </w:trPr>
        <w:tc>
          <w:tcPr>
            <w:tcW w:w="5240" w:type="dxa"/>
            <w:vAlign w:val="center"/>
          </w:tcPr>
          <w:p w14:paraId="11B21EC4" w14:textId="21B8E042" w:rsidR="00D27C5F" w:rsidRDefault="00D27C5F" w:rsidP="00D27C5F">
            <w:pPr>
              <w:pStyle w:val="NormalTableau"/>
              <w:jc w:val="left"/>
            </w:pPr>
            <w:r>
              <w:t>Salles de réunions/cinémas/</w:t>
            </w:r>
            <w:r w:rsidRPr="00D27C5F">
              <w:t>centre culturels</w:t>
            </w:r>
          </w:p>
        </w:tc>
        <w:tc>
          <w:tcPr>
            <w:tcW w:w="3776" w:type="dxa"/>
            <w:vAlign w:val="center"/>
          </w:tcPr>
          <w:p w14:paraId="79531141" w14:textId="44D9CEF9" w:rsidR="00D27C5F" w:rsidRPr="00D27C5F" w:rsidRDefault="00D27C5F" w:rsidP="00D27C5F">
            <w:pPr>
              <w:pStyle w:val="NormalTableau"/>
              <w:jc w:val="left"/>
            </w:pPr>
            <w:r w:rsidRPr="00D27C5F">
              <w:t>1 emplacement par tranche de</w:t>
            </w:r>
            <w:r>
              <w:t xml:space="preserve"> </w:t>
            </w:r>
            <w:r w:rsidRPr="00D27C5F">
              <w:t>20 m</w:t>
            </w:r>
            <w:r w:rsidRPr="00D27C5F">
              <w:rPr>
                <w:vertAlign w:val="superscript"/>
              </w:rPr>
              <w:t>2</w:t>
            </w:r>
            <w:r w:rsidRPr="00D27C5F">
              <w:t xml:space="preserve"> de la surface construite brute</w:t>
            </w:r>
          </w:p>
        </w:tc>
      </w:tr>
      <w:tr w:rsidR="00D27C5F" w14:paraId="24B8942C" w14:textId="77777777" w:rsidTr="00D27C5F">
        <w:trPr>
          <w:trHeight w:val="694"/>
        </w:trPr>
        <w:tc>
          <w:tcPr>
            <w:tcW w:w="5240" w:type="dxa"/>
            <w:vAlign w:val="center"/>
          </w:tcPr>
          <w:p w14:paraId="7E745214" w14:textId="1279E857" w:rsidR="00D27C5F" w:rsidRDefault="00D27C5F" w:rsidP="00D27C5F">
            <w:pPr>
              <w:pStyle w:val="NormalTableau"/>
              <w:jc w:val="left"/>
            </w:pPr>
            <w:r w:rsidRPr="00D27C5F">
              <w:t>Stations-service et garages de réparation d’automobiles</w:t>
            </w:r>
          </w:p>
        </w:tc>
        <w:tc>
          <w:tcPr>
            <w:tcW w:w="3776" w:type="dxa"/>
            <w:vAlign w:val="center"/>
          </w:tcPr>
          <w:p w14:paraId="4F7DB5E9" w14:textId="7CE8524E" w:rsidR="00D27C5F" w:rsidRPr="00D27C5F" w:rsidRDefault="00D27C5F" w:rsidP="00D27C5F">
            <w:pPr>
              <w:pStyle w:val="NormalTableau"/>
              <w:jc w:val="left"/>
            </w:pPr>
            <w:r w:rsidRPr="00D27C5F">
              <w:t>1 emplacement par tranche de 50 m</w:t>
            </w:r>
            <w:r w:rsidRPr="00D27C5F">
              <w:rPr>
                <w:vertAlign w:val="superscript"/>
              </w:rPr>
              <w:t>2</w:t>
            </w:r>
            <w:r w:rsidRPr="00D27C5F">
              <w:t xml:space="preserve"> de la surface construite brute avec un minimum de 3 places par installation</w:t>
            </w:r>
          </w:p>
        </w:tc>
      </w:tr>
      <w:tr w:rsidR="00D27C5F" w14:paraId="72E94D8A" w14:textId="77777777" w:rsidTr="00D27C5F">
        <w:trPr>
          <w:trHeight w:val="279"/>
        </w:trPr>
        <w:tc>
          <w:tcPr>
            <w:tcW w:w="5240" w:type="dxa"/>
            <w:vAlign w:val="center"/>
          </w:tcPr>
          <w:p w14:paraId="2067B03B" w14:textId="7E5AE871" w:rsidR="00D27C5F" w:rsidRDefault="00D27C5F" w:rsidP="00D27C5F">
            <w:pPr>
              <w:pStyle w:val="NormalTableau"/>
              <w:jc w:val="left"/>
            </w:pPr>
            <w:r w:rsidRPr="00D27C5F">
              <w:t>Maisons de retraite</w:t>
            </w:r>
          </w:p>
        </w:tc>
        <w:tc>
          <w:tcPr>
            <w:tcW w:w="3776" w:type="dxa"/>
            <w:vAlign w:val="center"/>
          </w:tcPr>
          <w:p w14:paraId="44E07B5C" w14:textId="5F68B1B1" w:rsidR="00D27C5F" w:rsidRPr="00D27C5F" w:rsidRDefault="00D27C5F" w:rsidP="00D27C5F">
            <w:pPr>
              <w:pStyle w:val="NormalTableau"/>
              <w:jc w:val="left"/>
            </w:pPr>
            <w:r w:rsidRPr="00D27C5F">
              <w:t>1 emplacement par tranche de 5 lits</w:t>
            </w:r>
          </w:p>
        </w:tc>
      </w:tr>
      <w:tr w:rsidR="00D27C5F" w14:paraId="76DAEDD3" w14:textId="77777777" w:rsidTr="00D27C5F">
        <w:trPr>
          <w:trHeight w:val="282"/>
        </w:trPr>
        <w:tc>
          <w:tcPr>
            <w:tcW w:w="5240" w:type="dxa"/>
            <w:vAlign w:val="center"/>
          </w:tcPr>
          <w:p w14:paraId="2C109C11" w14:textId="3FA505E8" w:rsidR="00D27C5F" w:rsidRDefault="00D27C5F" w:rsidP="00D27C5F">
            <w:pPr>
              <w:pStyle w:val="NormalTableau"/>
              <w:jc w:val="left"/>
            </w:pPr>
            <w:r w:rsidRPr="00D27C5F">
              <w:t>Constructions hôtelières</w:t>
            </w:r>
          </w:p>
        </w:tc>
        <w:tc>
          <w:tcPr>
            <w:tcW w:w="3776" w:type="dxa"/>
            <w:vAlign w:val="center"/>
          </w:tcPr>
          <w:p w14:paraId="144003B5" w14:textId="39F1AAC2" w:rsidR="00D27C5F" w:rsidRPr="00D27C5F" w:rsidRDefault="00D27C5F" w:rsidP="00D27C5F">
            <w:pPr>
              <w:pStyle w:val="NormalTableau"/>
              <w:jc w:val="left"/>
            </w:pPr>
            <w:r w:rsidRPr="00D27C5F">
              <w:t>1 emplacement par tranche de 3 lits</w:t>
            </w:r>
          </w:p>
        </w:tc>
      </w:tr>
      <w:tr w:rsidR="00D27C5F" w14:paraId="255BF8A4" w14:textId="77777777" w:rsidTr="00D27C5F">
        <w:trPr>
          <w:trHeight w:val="259"/>
        </w:trPr>
        <w:tc>
          <w:tcPr>
            <w:tcW w:w="5240" w:type="dxa"/>
            <w:vAlign w:val="center"/>
          </w:tcPr>
          <w:p w14:paraId="6F60B0FB" w14:textId="3B0B9FBB" w:rsidR="00D27C5F" w:rsidRDefault="00D27C5F" w:rsidP="00D27C5F">
            <w:pPr>
              <w:pStyle w:val="NormalTableau"/>
              <w:jc w:val="left"/>
            </w:pPr>
            <w:r w:rsidRPr="00D27C5F">
              <w:t>Cimetières</w:t>
            </w:r>
          </w:p>
        </w:tc>
        <w:tc>
          <w:tcPr>
            <w:tcW w:w="3776" w:type="dxa"/>
            <w:vAlign w:val="center"/>
          </w:tcPr>
          <w:p w14:paraId="6B72921B" w14:textId="16EFA82E" w:rsidR="00D27C5F" w:rsidRPr="00D27C5F" w:rsidRDefault="00D27C5F" w:rsidP="00D27C5F">
            <w:pPr>
              <w:pStyle w:val="NormalTableau"/>
              <w:jc w:val="left"/>
            </w:pPr>
            <w:r w:rsidRPr="00D27C5F">
              <w:t>1 emplacement par tranche de 2.000 m</w:t>
            </w:r>
            <w:r w:rsidRPr="00D27C5F">
              <w:rPr>
                <w:vertAlign w:val="superscript"/>
              </w:rPr>
              <w:t>2</w:t>
            </w:r>
            <w:r w:rsidRPr="00D27C5F">
              <w:t xml:space="preserve"> de surface</w:t>
            </w:r>
          </w:p>
        </w:tc>
      </w:tr>
    </w:tbl>
    <w:p w14:paraId="33014186" w14:textId="449314BD" w:rsidR="00D27C5F" w:rsidRDefault="00D27C5F" w:rsidP="00D27C5F">
      <w:pPr>
        <w:jc w:val="center"/>
      </w:pPr>
      <w:r w:rsidRPr="00D27C5F">
        <w:t>*Valable également pour le logement intégré</w:t>
      </w:r>
    </w:p>
    <w:p w14:paraId="598F82A1" w14:textId="77777777" w:rsidR="00231DAB" w:rsidRDefault="00231DAB" w:rsidP="00231DAB"/>
    <w:p w14:paraId="67D56169" w14:textId="77777777" w:rsidR="00D27C5F" w:rsidRDefault="00D27C5F" w:rsidP="00D27C5F">
      <w:r>
        <w:t>Pour le calcul des emplacements de stationnement, les chiffres sont arrondis à l’unité supérieure.</w:t>
      </w:r>
    </w:p>
    <w:p w14:paraId="0006DCCE" w14:textId="77777777" w:rsidR="00D27C5F" w:rsidRDefault="00D27C5F" w:rsidP="00D27C5F">
      <w:r>
        <w:t>Il est obligatoire de prévoir au minimum 1 emplacement de stationnement pour visiteurs pour les constructions mixtes ou les constructions plurifamiliales de 4 à 6 logements. Il est obligatoire de prévoir au minimum 2 emplacements de stationnement pour visiteurs pour les constructions mixtes ou plurifamiliales de plus de 6 logements.</w:t>
      </w:r>
    </w:p>
    <w:p w14:paraId="22516E47" w14:textId="77777777" w:rsidR="00D27C5F" w:rsidRDefault="00D27C5F" w:rsidP="00D27C5F">
      <w:r>
        <w:t>Lorsque des emplacements de stationnement obligatoires ont été supprimés, le propriétaire est tenu de les remplacer. Les emplacements de stationnement ne peuvent être pris en compte que pour une seule et même construction.</w:t>
      </w:r>
    </w:p>
    <w:p w14:paraId="2900706A" w14:textId="48A3503C" w:rsidR="00D27C5F" w:rsidRDefault="00D27C5F" w:rsidP="00D27C5F">
      <w:r>
        <w:t>Les constructions nouvelles et les transformations de bâtiments publics ou privés existants ouverts au public doivent prévoir un nombre suffisant d’emplacements de stationnement pour vélos en fonction de l’affectation prévue.</w:t>
      </w:r>
    </w:p>
    <w:p w14:paraId="2A0AFD3E" w14:textId="6EF9DA29" w:rsidR="00D27C5F" w:rsidRDefault="00D27C5F" w:rsidP="00D27C5F">
      <w:r>
        <w:lastRenderedPageBreak/>
        <w:t>Concernant les emplacements de stationnement pour vélos, sont à considérer comme minimum pour les destinations suivantes:</w:t>
      </w:r>
    </w:p>
    <w:tbl>
      <w:tblPr>
        <w:tblStyle w:val="TableGrid"/>
        <w:tblW w:w="0" w:type="auto"/>
        <w:tblLook w:val="04A0" w:firstRow="1" w:lastRow="0" w:firstColumn="1" w:lastColumn="0" w:noHBand="0" w:noVBand="1"/>
      </w:tblPr>
      <w:tblGrid>
        <w:gridCol w:w="5240"/>
        <w:gridCol w:w="3776"/>
      </w:tblGrid>
      <w:tr w:rsidR="00D27C5F" w14:paraId="36955687" w14:textId="77777777" w:rsidTr="00C24281">
        <w:trPr>
          <w:trHeight w:val="339"/>
        </w:trPr>
        <w:tc>
          <w:tcPr>
            <w:tcW w:w="5240" w:type="dxa"/>
            <w:shd w:val="clear" w:color="auto" w:fill="D9D9D9" w:themeFill="background1" w:themeFillShade="D9"/>
            <w:vAlign w:val="center"/>
          </w:tcPr>
          <w:p w14:paraId="0616F005" w14:textId="77777777" w:rsidR="00D27C5F" w:rsidRPr="00D27C5F" w:rsidRDefault="00D27C5F" w:rsidP="00C24281">
            <w:pPr>
              <w:pStyle w:val="NormalTableau"/>
              <w:jc w:val="center"/>
              <w:rPr>
                <w:b/>
                <w:u w:val="single"/>
              </w:rPr>
            </w:pPr>
            <w:r w:rsidRPr="00D27C5F">
              <w:rPr>
                <w:b/>
                <w:u w:val="single"/>
              </w:rPr>
              <w:t>Destination</w:t>
            </w:r>
          </w:p>
        </w:tc>
        <w:tc>
          <w:tcPr>
            <w:tcW w:w="3776" w:type="dxa"/>
            <w:shd w:val="clear" w:color="auto" w:fill="D9D9D9" w:themeFill="background1" w:themeFillShade="D9"/>
            <w:vAlign w:val="center"/>
          </w:tcPr>
          <w:p w14:paraId="3902AC36" w14:textId="77777777" w:rsidR="00D27C5F" w:rsidRPr="00D27C5F" w:rsidRDefault="00D27C5F" w:rsidP="00C24281">
            <w:pPr>
              <w:pStyle w:val="NormalTableau"/>
              <w:jc w:val="center"/>
              <w:rPr>
                <w:b/>
                <w:u w:val="single"/>
              </w:rPr>
            </w:pPr>
            <w:r w:rsidRPr="00D27C5F">
              <w:rPr>
                <w:b/>
                <w:u w:val="single"/>
              </w:rPr>
              <w:t>Nombre d’emplacement de stationnement</w:t>
            </w:r>
          </w:p>
        </w:tc>
      </w:tr>
      <w:tr w:rsidR="00D27C5F" w14:paraId="66D2E8D6" w14:textId="77777777" w:rsidTr="00231DAB">
        <w:trPr>
          <w:trHeight w:val="492"/>
        </w:trPr>
        <w:tc>
          <w:tcPr>
            <w:tcW w:w="5240" w:type="dxa"/>
            <w:vAlign w:val="center"/>
          </w:tcPr>
          <w:p w14:paraId="1A255AC1" w14:textId="65EBDDEB" w:rsidR="00D27C5F" w:rsidRDefault="00D27C5F" w:rsidP="00231DAB">
            <w:pPr>
              <w:pStyle w:val="NormalTableau"/>
              <w:jc w:val="left"/>
            </w:pPr>
            <w:r w:rsidRPr="00D27C5F">
              <w:t>Pour les logements d’une surface construite nette inférieure ou égale à 70 m</w:t>
            </w:r>
            <w:r w:rsidRPr="00D27C5F">
              <w:rPr>
                <w:vertAlign w:val="superscript"/>
              </w:rPr>
              <w:t>2</w:t>
            </w:r>
            <w:r w:rsidRPr="00D27C5F">
              <w:t xml:space="preserve"> dans les mai-sons plurifamiliales</w:t>
            </w:r>
          </w:p>
        </w:tc>
        <w:tc>
          <w:tcPr>
            <w:tcW w:w="3776" w:type="dxa"/>
            <w:vAlign w:val="center"/>
          </w:tcPr>
          <w:p w14:paraId="26174C32" w14:textId="65884905" w:rsidR="00D27C5F" w:rsidRDefault="00D27C5F" w:rsidP="00231DAB">
            <w:pPr>
              <w:pStyle w:val="NormalTableau"/>
              <w:jc w:val="left"/>
            </w:pPr>
            <w:r w:rsidRPr="00D27C5F">
              <w:t>1 emplacement par logement</w:t>
            </w:r>
          </w:p>
        </w:tc>
      </w:tr>
      <w:tr w:rsidR="00D27C5F" w14:paraId="64551968" w14:textId="77777777" w:rsidTr="00231DAB">
        <w:trPr>
          <w:trHeight w:val="413"/>
        </w:trPr>
        <w:tc>
          <w:tcPr>
            <w:tcW w:w="5240" w:type="dxa"/>
            <w:vAlign w:val="center"/>
          </w:tcPr>
          <w:p w14:paraId="443B4F4E" w14:textId="233FF276" w:rsidR="00D27C5F" w:rsidRDefault="00D27C5F" w:rsidP="00231DAB">
            <w:pPr>
              <w:pStyle w:val="NormalTableau"/>
              <w:jc w:val="left"/>
            </w:pPr>
            <w:r w:rsidRPr="00D27C5F">
              <w:t>Pour les logements d'une surface construite nette supérieure à 70 m</w:t>
            </w:r>
            <w:r w:rsidRPr="00D27C5F">
              <w:rPr>
                <w:vertAlign w:val="superscript"/>
              </w:rPr>
              <w:t>2</w:t>
            </w:r>
            <w:r w:rsidRPr="00D27C5F">
              <w:t xml:space="preserve"> dans les maisons pluri-familiales</w:t>
            </w:r>
          </w:p>
        </w:tc>
        <w:tc>
          <w:tcPr>
            <w:tcW w:w="3776" w:type="dxa"/>
            <w:vAlign w:val="center"/>
          </w:tcPr>
          <w:p w14:paraId="325E3CF4" w14:textId="373153B8" w:rsidR="00D27C5F" w:rsidRDefault="00D27C5F" w:rsidP="00231DAB">
            <w:pPr>
              <w:pStyle w:val="NormalTableau"/>
              <w:jc w:val="left"/>
            </w:pPr>
            <w:r w:rsidRPr="00D27C5F">
              <w:t>2 emplacements par logement</w:t>
            </w:r>
          </w:p>
        </w:tc>
      </w:tr>
      <w:tr w:rsidR="00D27C5F" w14:paraId="7001A4DE" w14:textId="77777777" w:rsidTr="00231DAB">
        <w:trPr>
          <w:trHeight w:val="281"/>
        </w:trPr>
        <w:tc>
          <w:tcPr>
            <w:tcW w:w="9016" w:type="dxa"/>
            <w:gridSpan w:val="2"/>
            <w:vAlign w:val="center"/>
          </w:tcPr>
          <w:p w14:paraId="2FBC9089" w14:textId="77777777" w:rsidR="00D27C5F" w:rsidRDefault="00D27C5F" w:rsidP="00231DAB">
            <w:pPr>
              <w:pStyle w:val="NormalTableau"/>
              <w:jc w:val="left"/>
            </w:pPr>
          </w:p>
        </w:tc>
      </w:tr>
      <w:tr w:rsidR="00D27C5F" w14:paraId="5BDE512D" w14:textId="77777777" w:rsidTr="00231DAB">
        <w:trPr>
          <w:trHeight w:val="399"/>
        </w:trPr>
        <w:tc>
          <w:tcPr>
            <w:tcW w:w="5240" w:type="dxa"/>
            <w:vAlign w:val="center"/>
          </w:tcPr>
          <w:p w14:paraId="0A1ED555" w14:textId="7A659494" w:rsidR="00D27C5F" w:rsidRDefault="00D27C5F" w:rsidP="00231DAB">
            <w:pPr>
              <w:pStyle w:val="NormalTableau"/>
              <w:jc w:val="left"/>
            </w:pPr>
            <w:r w:rsidRPr="00D27C5F">
              <w:t>Administrations, bureaux</w:t>
            </w:r>
          </w:p>
        </w:tc>
        <w:tc>
          <w:tcPr>
            <w:tcW w:w="3776" w:type="dxa"/>
            <w:vAlign w:val="center"/>
          </w:tcPr>
          <w:p w14:paraId="5BEADAF2" w14:textId="334E64CF" w:rsidR="00D27C5F" w:rsidRDefault="00D27C5F" w:rsidP="00231DAB">
            <w:pPr>
              <w:pStyle w:val="NormalTableau"/>
              <w:jc w:val="left"/>
            </w:pPr>
            <w:r w:rsidRPr="00D27C5F">
              <w:t>1 emplacement par tranche de 500 m</w:t>
            </w:r>
            <w:r w:rsidRPr="00D27C5F">
              <w:rPr>
                <w:vertAlign w:val="superscript"/>
              </w:rPr>
              <w:t>2</w:t>
            </w:r>
            <w:r w:rsidRPr="00D27C5F">
              <w:t xml:space="preserve"> de sur-face construite brute avec un supplément de 1 emplacement par tranche de 70 m</w:t>
            </w:r>
            <w:r w:rsidRPr="00D27C5F">
              <w:rPr>
                <w:vertAlign w:val="superscript"/>
              </w:rPr>
              <w:t>2</w:t>
            </w:r>
            <w:r w:rsidRPr="00D27C5F">
              <w:t xml:space="preserve"> de surface construite brute pour les activités générant un taux de visiteurs élevés</w:t>
            </w:r>
          </w:p>
        </w:tc>
      </w:tr>
      <w:tr w:rsidR="00D27C5F" w14:paraId="56908639" w14:textId="77777777" w:rsidTr="00231DAB">
        <w:trPr>
          <w:trHeight w:val="276"/>
        </w:trPr>
        <w:tc>
          <w:tcPr>
            <w:tcW w:w="5240" w:type="dxa"/>
            <w:vAlign w:val="center"/>
          </w:tcPr>
          <w:p w14:paraId="7ADD0E53" w14:textId="00631050" w:rsidR="00D27C5F" w:rsidRPr="00D27C5F" w:rsidRDefault="00D27C5F" w:rsidP="00231DAB">
            <w:pPr>
              <w:pStyle w:val="NormalTableau"/>
              <w:jc w:val="left"/>
            </w:pPr>
            <w:r w:rsidRPr="00D27C5F">
              <w:t>Ecoles fondamentales et autre établissements scolaires</w:t>
            </w:r>
          </w:p>
        </w:tc>
        <w:tc>
          <w:tcPr>
            <w:tcW w:w="3776" w:type="dxa"/>
            <w:vAlign w:val="center"/>
          </w:tcPr>
          <w:p w14:paraId="0D7B8456" w14:textId="1EB331A1" w:rsidR="00D27C5F" w:rsidRPr="00D27C5F" w:rsidRDefault="00D27C5F" w:rsidP="00231DAB">
            <w:pPr>
              <w:pStyle w:val="NormalTableau"/>
              <w:jc w:val="left"/>
            </w:pPr>
            <w:r w:rsidRPr="00D27C5F">
              <w:t>3 emplacements par classe scolaire</w:t>
            </w:r>
          </w:p>
        </w:tc>
      </w:tr>
      <w:tr w:rsidR="00D27C5F" w14:paraId="2324E508" w14:textId="77777777" w:rsidTr="00231DAB">
        <w:trPr>
          <w:trHeight w:val="423"/>
        </w:trPr>
        <w:tc>
          <w:tcPr>
            <w:tcW w:w="5240" w:type="dxa"/>
            <w:vAlign w:val="center"/>
          </w:tcPr>
          <w:p w14:paraId="017A0E47" w14:textId="1AA169EA" w:rsidR="00D27C5F" w:rsidRPr="00D27C5F" w:rsidRDefault="00D27C5F" w:rsidP="00231DAB">
            <w:pPr>
              <w:pStyle w:val="NormalTableau"/>
              <w:jc w:val="left"/>
            </w:pPr>
            <w:r w:rsidRPr="00D27C5F">
              <w:t>Arrêts ferroviaires</w:t>
            </w:r>
          </w:p>
        </w:tc>
        <w:tc>
          <w:tcPr>
            <w:tcW w:w="3776" w:type="dxa"/>
            <w:vAlign w:val="center"/>
          </w:tcPr>
          <w:p w14:paraId="42827DE7" w14:textId="49A42E3E" w:rsidR="00D27C5F" w:rsidRPr="00D27C5F" w:rsidRDefault="00D27C5F" w:rsidP="00231DAB">
            <w:pPr>
              <w:pStyle w:val="NormalTableau"/>
              <w:jc w:val="left"/>
            </w:pPr>
            <w:r w:rsidRPr="00D27C5F">
              <w:t>30 emplacements par arrêt</w:t>
            </w:r>
          </w:p>
        </w:tc>
      </w:tr>
      <w:tr w:rsidR="00D27C5F" w14:paraId="51765438" w14:textId="77777777" w:rsidTr="00231DAB">
        <w:trPr>
          <w:trHeight w:val="698"/>
        </w:trPr>
        <w:tc>
          <w:tcPr>
            <w:tcW w:w="5240" w:type="dxa"/>
            <w:vAlign w:val="center"/>
          </w:tcPr>
          <w:p w14:paraId="5973283D" w14:textId="726980A3" w:rsidR="00D27C5F" w:rsidRPr="00D27C5F" w:rsidRDefault="00D27C5F" w:rsidP="00231DAB">
            <w:pPr>
              <w:pStyle w:val="NormalTableau"/>
              <w:jc w:val="left"/>
            </w:pPr>
            <w:r w:rsidRPr="00D27C5F">
              <w:t>Commerces</w:t>
            </w:r>
          </w:p>
        </w:tc>
        <w:tc>
          <w:tcPr>
            <w:tcW w:w="3776" w:type="dxa"/>
            <w:vAlign w:val="center"/>
          </w:tcPr>
          <w:p w14:paraId="31DB9F2D" w14:textId="3807F109" w:rsidR="00D27C5F" w:rsidRPr="00D27C5F" w:rsidRDefault="00D27C5F" w:rsidP="00231DAB">
            <w:pPr>
              <w:pStyle w:val="NormalTableau"/>
              <w:jc w:val="left"/>
            </w:pPr>
            <w:r w:rsidRPr="00D27C5F">
              <w:t>1 emplacement par tranche de 200 m</w:t>
            </w:r>
            <w:r w:rsidRPr="00D27C5F">
              <w:rPr>
                <w:vertAlign w:val="superscript"/>
              </w:rPr>
              <w:t>2</w:t>
            </w:r>
            <w:r w:rsidRPr="00D27C5F">
              <w:t xml:space="preserve"> de sur-face de vente pour les activités de commerce à partir de 1.000 m</w:t>
            </w:r>
            <w:r w:rsidRPr="00D27C5F">
              <w:rPr>
                <w:vertAlign w:val="superscript"/>
              </w:rPr>
              <w:t>2</w:t>
            </w:r>
          </w:p>
        </w:tc>
      </w:tr>
      <w:tr w:rsidR="00D27C5F" w14:paraId="1A9160AF" w14:textId="77777777" w:rsidTr="00231DAB">
        <w:trPr>
          <w:trHeight w:val="553"/>
        </w:trPr>
        <w:tc>
          <w:tcPr>
            <w:tcW w:w="5240" w:type="dxa"/>
            <w:vAlign w:val="center"/>
          </w:tcPr>
          <w:p w14:paraId="4389BE23" w14:textId="6217B414" w:rsidR="00D27C5F" w:rsidRDefault="00D27C5F" w:rsidP="00231DAB">
            <w:pPr>
              <w:pStyle w:val="NormalTableau"/>
              <w:jc w:val="left"/>
            </w:pPr>
            <w:r>
              <w:t>Salles de réunions/cinémas/</w:t>
            </w:r>
            <w:r w:rsidRPr="00D27C5F">
              <w:t>centre culturels</w:t>
            </w:r>
          </w:p>
        </w:tc>
        <w:tc>
          <w:tcPr>
            <w:tcW w:w="3776" w:type="dxa"/>
            <w:vAlign w:val="center"/>
          </w:tcPr>
          <w:p w14:paraId="16501DBC" w14:textId="4AD6008C" w:rsidR="00D27C5F" w:rsidRPr="00D27C5F" w:rsidRDefault="00D27C5F" w:rsidP="00231DAB">
            <w:pPr>
              <w:pStyle w:val="NormalTableau"/>
              <w:jc w:val="left"/>
            </w:pPr>
            <w:r w:rsidRPr="00D27C5F">
              <w:t>1 emplacements par tranche de 40 de places de visiteurs</w:t>
            </w:r>
          </w:p>
        </w:tc>
      </w:tr>
    </w:tbl>
    <w:p w14:paraId="02333D7A" w14:textId="672253D0" w:rsidR="00D27C5F" w:rsidRDefault="00D27C5F" w:rsidP="00D27C5F"/>
    <w:p w14:paraId="2AF643C8" w14:textId="141ED0E7" w:rsidR="00231DAB" w:rsidRPr="007D461A" w:rsidRDefault="00231DAB" w:rsidP="00D27C5F">
      <w:r w:rsidRPr="00231DAB">
        <w:t>Pour des raisons urbanistiques, architecturales, de mobilité durable ou de sécurité, une dérogation totale ou partielle du nombre d’emplacement de stationnement pour voitures et pour vélos peut être accordée dans le cadre d'une demande d'autorisation de bâtir.</w:t>
      </w:r>
    </w:p>
    <w:sectPr w:rsidR="00231DA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31DAB"/>
    <w:rsid w:val="00303C0B"/>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27C5F"/>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D27C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577</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2023-11-27T07:35:00Z</dcterms:modified>
</cp:coreProperties>
</file>