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E168F" w14:textId="05108622" w:rsidR="00EB4ACC" w:rsidRDefault="00EB4ACC" w:rsidP="00EB4ACC">
      <w:pPr>
        <w:pStyle w:val="Heading1"/>
      </w:pPr>
      <w:r>
        <w:t>Art. 14 Zone spéciale « Windhof » [SPEC-WIND]</w:t>
      </w:r>
    </w:p>
    <w:p w14:paraId="43222468" w14:textId="729A64D6" w:rsidR="00AA5C5F" w:rsidRDefault="00EB4ACC" w:rsidP="00EB4ACC">
      <w:r>
        <w:t>La zone spéciale « Windhof » [SPEC-WIND] à Windhof est principalement réservée aux activités de prestations de services commerciaux, de services administratifs, industrielles légères, artisanales, de commerce de gros, aux équipements collectifs techniques, ainsi qu’aux activités hôtelières.</w:t>
      </w:r>
      <w:bookmarkStart w:id="0" w:name="_GoBack"/>
      <w:bookmarkEnd w:id="0"/>
    </w:p>
    <w:p w14:paraId="1A0F337F" w14:textId="32685BFF" w:rsidR="00EB4ACC" w:rsidRDefault="00EB4ACC" w:rsidP="00EB4ACC">
      <w:r>
        <w:t>Y sont admis:</w:t>
      </w:r>
    </w:p>
    <w:p w14:paraId="45AC95F7" w14:textId="77777777" w:rsidR="00EB4ACC" w:rsidRDefault="00EB4ACC" w:rsidP="00EB4ACC">
      <w:pPr>
        <w:pStyle w:val="ListParagraph"/>
        <w:numPr>
          <w:ilvl w:val="0"/>
          <w:numId w:val="7"/>
        </w:numPr>
      </w:pPr>
      <w:r>
        <w:t>des activités de transport ou de logistique, limitées à 2.000 m</w:t>
      </w:r>
      <w:r w:rsidRPr="00EB4ACC">
        <w:rPr>
          <w:vertAlign w:val="superscript"/>
        </w:rPr>
        <w:t>2</w:t>
      </w:r>
      <w:r>
        <w:t xml:space="preserve"> de surface construite brute par immeuble bâti, des activités de commerce de détail, limitées à 2.000 m</w:t>
      </w:r>
      <w:r w:rsidRPr="00EB4ACC">
        <w:rPr>
          <w:vertAlign w:val="superscript"/>
        </w:rPr>
        <w:t>2</w:t>
      </w:r>
      <w:r>
        <w:t xml:space="preserve"> de surface construite brute par immeuble bâti,</w:t>
      </w:r>
    </w:p>
    <w:p w14:paraId="7AE5D7C2" w14:textId="77777777" w:rsidR="00EB4ACC" w:rsidRDefault="00EB4ACC" w:rsidP="00EB4ACC">
      <w:pPr>
        <w:pStyle w:val="ListParagraph"/>
        <w:numPr>
          <w:ilvl w:val="0"/>
          <w:numId w:val="7"/>
        </w:numPr>
      </w:pPr>
      <w:r>
        <w:t>des activités de stockage de marchandises ou de matériaux qui ne peuvent ne pas être liées à l’activité principale, limitées à 2.000 m</w:t>
      </w:r>
      <w:r w:rsidRPr="00EB4ACC">
        <w:rPr>
          <w:vertAlign w:val="superscript"/>
        </w:rPr>
        <w:t>2</w:t>
      </w:r>
      <w:r>
        <w:t xml:space="preserve"> de surface construite bruite par immeuble bâti,</w:t>
      </w:r>
    </w:p>
    <w:p w14:paraId="54F81F89" w14:textId="77777777" w:rsidR="00EB4ACC" w:rsidRDefault="00EB4ACC" w:rsidP="00EB4ACC">
      <w:pPr>
        <w:pStyle w:val="ListParagraph"/>
        <w:numPr>
          <w:ilvl w:val="0"/>
          <w:numId w:val="7"/>
        </w:numPr>
      </w:pPr>
      <w:r>
        <w:t>des établissements de restauration en relation directe avec les besoins de la zone concernée,</w:t>
      </w:r>
    </w:p>
    <w:p w14:paraId="7BA657E5" w14:textId="32023508" w:rsidR="00EB4ACC" w:rsidRPr="007D461A" w:rsidRDefault="00EB4ACC" w:rsidP="00EB4ACC">
      <w:pPr>
        <w:pStyle w:val="ListParagraph"/>
        <w:numPr>
          <w:ilvl w:val="0"/>
          <w:numId w:val="7"/>
        </w:numPr>
      </w:pPr>
      <w:r>
        <w:t>des logements de service à l’usage du personnel dont la présence permanente est nécessaire pour assurer la direction ou la surveillance d’une entreprise particulière. Ces logements sont à intégrer dans le corps-même des constructions. Pour les logements de service existants qui ne font pas partie intégrante des constructions, les travaux de transformation ou de rénovation sont admissibles.</w:t>
      </w:r>
    </w:p>
    <w:sectPr w:rsidR="00EB4AC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96614"/>
    <w:multiLevelType w:val="hybridMultilevel"/>
    <w:tmpl w:val="976CA78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D7E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A5C5F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B4ACC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2023-11-27T07:38:00Z</dcterms:modified>
</cp:coreProperties>
</file>