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D0EDA" w14:textId="666F355C" w:rsidR="00AD4D2D" w:rsidRPr="00AD4D2D" w:rsidRDefault="00AD4D2D" w:rsidP="00AD4D2D">
      <w:pPr>
        <w:pStyle w:val="Titre1"/>
        <w:rPr>
          <w:lang w:val="fr-FR"/>
        </w:rPr>
      </w:pPr>
      <w:r>
        <w:rPr>
          <w:lang w:val="fr-FR"/>
        </w:rPr>
        <w:t>Art.</w:t>
      </w:r>
      <w:r w:rsidRPr="00AD4D2D">
        <w:rPr>
          <w:lang w:val="fr-FR"/>
        </w:rPr>
        <w:t xml:space="preserve"> 15 Les zones délimitant les fonds soumis à l’élaboration d’un plan d’aménagement particulier </w:t>
      </w:r>
      <w:r>
        <w:rPr>
          <w:lang w:val="fr-FR"/>
        </w:rPr>
        <w:t>« nouveau quartier »</w:t>
      </w:r>
    </w:p>
    <w:p w14:paraId="203A8BBD" w14:textId="2B9BD500" w:rsidR="00AD4D2D" w:rsidRPr="00AD4D2D" w:rsidRDefault="00AD4D2D" w:rsidP="00AD4D2D">
      <w:pPr>
        <w:pStyle w:val="Titre2"/>
        <w:rPr>
          <w:lang w:val="fr-FR"/>
        </w:rPr>
      </w:pPr>
      <w:r>
        <w:rPr>
          <w:lang w:val="fr-FR"/>
        </w:rPr>
        <w:t>Art.</w:t>
      </w:r>
      <w:r w:rsidRPr="00AD4D2D">
        <w:rPr>
          <w:lang w:val="fr-FR"/>
        </w:rPr>
        <w:t xml:space="preserve"> 15.1 Zone soumise à un plan d’aménagement particulier </w:t>
      </w:r>
      <w:r>
        <w:rPr>
          <w:lang w:val="fr-FR"/>
        </w:rPr>
        <w:t>« nouveau quartier »</w:t>
      </w:r>
    </w:p>
    <w:p w14:paraId="010F958D" w14:textId="5AC46714" w:rsidR="00AD4D2D" w:rsidRPr="00AD4D2D" w:rsidRDefault="00AD4D2D" w:rsidP="00AD4D2D">
      <w:pPr>
        <w:rPr>
          <w:lang w:val="fr-FR"/>
        </w:rPr>
      </w:pPr>
      <w:r w:rsidRPr="00AD4D2D">
        <w:rPr>
          <w:lang w:val="fr-FR"/>
        </w:rPr>
        <w:t xml:space="preserve">Le développement urbain dans ces zones est orienté par le schéma directeur. Ces zones peuvent être exécutées par un ou plusieurs plans d’aménagement particulier </w:t>
      </w:r>
      <w:r>
        <w:rPr>
          <w:lang w:val="fr-FR"/>
        </w:rPr>
        <w:t>« nouveau quartier »</w:t>
      </w:r>
      <w:r w:rsidRPr="00AD4D2D">
        <w:rPr>
          <w:lang w:val="fr-FR"/>
        </w:rPr>
        <w:t>, correspondant à une ou plusieurs phases d’exécution.</w:t>
      </w:r>
    </w:p>
    <w:p w14:paraId="4DE8E510" w14:textId="77777777" w:rsidR="00AD4D2D" w:rsidRPr="00AD4D2D" w:rsidRDefault="00AD4D2D" w:rsidP="00AD4D2D">
      <w:pPr>
        <w:rPr>
          <w:lang w:val="fr-FR"/>
        </w:rPr>
      </w:pPr>
      <w:r w:rsidRPr="00AD4D2D">
        <w:rPr>
          <w:lang w:val="fr-FR"/>
        </w:rPr>
        <w:t>Dans ces zones, des aménagements et des constructions d’utilité publique, nécessaires à la mise en œuvre du plan d’aménagement général, en application de l’article 23 de la loi modifiée du 19 juillet 2004 concernant l’aménagement communal et le développement urbain, à réaliser par la Commune, l’Etat ou des gestionnaires de réseaux peuvent être admis sans qu’un PAP soit nécessaire, à condition que leur implantation se limite au strict minimum et qu’un soin particulier soit apporté à leur intégration dans le site.</w:t>
      </w:r>
    </w:p>
    <w:p w14:paraId="7AA88268" w14:textId="46A8B49A" w:rsidR="00AD4D2D" w:rsidRDefault="00AD4D2D" w:rsidP="00AD4D2D">
      <w:pPr>
        <w:rPr>
          <w:lang w:val="fr-FR"/>
        </w:rPr>
      </w:pPr>
      <w:r w:rsidRPr="00AD4D2D">
        <w:rPr>
          <w:lang w:val="fr-FR"/>
        </w:rPr>
        <w:t>Pour les constructions existantes situées dans cette zone des travaux peuvent exceptionnellement être admis sans qu’un PAP soit nécessaire, à condition que les travaux visés respectent les affectations permises par la zone de base du PAG et n’augmentent pas la surface construite brute existante de plus de 25m</w:t>
      </w:r>
      <w:r w:rsidRPr="00AD4D2D">
        <w:rPr>
          <w:vertAlign w:val="superscript"/>
          <w:lang w:val="fr-FR"/>
        </w:rPr>
        <w:t>2</w:t>
      </w:r>
      <w:r w:rsidRPr="00AD4D2D">
        <w:rPr>
          <w:lang w:val="fr-FR"/>
        </w:rPr>
        <w:t>.</w:t>
      </w:r>
    </w:p>
    <w:p w14:paraId="1EED8722" w14:textId="77777777" w:rsidR="009D2527" w:rsidRPr="000A68C6" w:rsidRDefault="009D2527" w:rsidP="009D2527">
      <w:pPr>
        <w:ind w:right="848"/>
      </w:pPr>
      <w:r w:rsidRPr="000A68C6">
        <w:t xml:space="preserve">Les constructions </w:t>
      </w:r>
      <w:proofErr w:type="spellStart"/>
      <w:r w:rsidRPr="000A68C6">
        <w:t>existantes</w:t>
      </w:r>
      <w:proofErr w:type="spellEnd"/>
      <w:r w:rsidRPr="000A68C6">
        <w:t xml:space="preserve"> </w:t>
      </w:r>
      <w:proofErr w:type="spellStart"/>
      <w:r w:rsidRPr="000A68C6">
        <w:t>peuvent</w:t>
      </w:r>
      <w:proofErr w:type="spellEnd"/>
      <w:r w:rsidRPr="000A68C6">
        <w:t xml:space="preserve"> </w:t>
      </w:r>
      <w:proofErr w:type="spellStart"/>
      <w:r w:rsidRPr="000A68C6">
        <w:t>être</w:t>
      </w:r>
      <w:proofErr w:type="spellEnd"/>
      <w:r w:rsidRPr="000A68C6">
        <w:t xml:space="preserve"> </w:t>
      </w:r>
      <w:proofErr w:type="spellStart"/>
      <w:r w:rsidRPr="000A68C6">
        <w:t>rénovées</w:t>
      </w:r>
      <w:proofErr w:type="spellEnd"/>
      <w:r w:rsidRPr="000A68C6">
        <w:t>.</w:t>
      </w:r>
    </w:p>
    <w:p w14:paraId="1965F6AD" w14:textId="77777777" w:rsidR="009D2527" w:rsidRPr="000A68C6" w:rsidRDefault="009D2527" w:rsidP="009D2527">
      <w:pPr>
        <w:ind w:right="848"/>
      </w:pPr>
      <w:proofErr w:type="gramStart"/>
      <w:r w:rsidRPr="000A68C6">
        <w:t xml:space="preserve">Les constructions </w:t>
      </w:r>
      <w:proofErr w:type="spellStart"/>
      <w:r w:rsidRPr="000A68C6">
        <w:t>existantes</w:t>
      </w:r>
      <w:proofErr w:type="spellEnd"/>
      <w:r w:rsidRPr="000A68C6">
        <w:t xml:space="preserve"> et </w:t>
      </w:r>
      <w:proofErr w:type="spellStart"/>
      <w:r w:rsidRPr="000A68C6">
        <w:t>autorisées</w:t>
      </w:r>
      <w:proofErr w:type="spellEnd"/>
      <w:r w:rsidRPr="000A68C6">
        <w:t xml:space="preserve"> sous le </w:t>
      </w:r>
      <w:proofErr w:type="spellStart"/>
      <w:r w:rsidRPr="000A68C6">
        <w:t>régime</w:t>
      </w:r>
      <w:proofErr w:type="spellEnd"/>
      <w:r w:rsidRPr="000A68C6">
        <w:t xml:space="preserve"> </w:t>
      </w:r>
      <w:proofErr w:type="spellStart"/>
      <w:r w:rsidRPr="000A68C6">
        <w:t>d’une</w:t>
      </w:r>
      <w:proofErr w:type="spellEnd"/>
      <w:r w:rsidRPr="000A68C6">
        <w:t xml:space="preserve"> </w:t>
      </w:r>
      <w:proofErr w:type="spellStart"/>
      <w:r w:rsidRPr="000A68C6">
        <w:t>réglementation</w:t>
      </w:r>
      <w:proofErr w:type="spellEnd"/>
      <w:r w:rsidRPr="000A68C6">
        <w:t xml:space="preserve"> </w:t>
      </w:r>
      <w:proofErr w:type="spellStart"/>
      <w:r w:rsidRPr="000A68C6">
        <w:t>antérieure</w:t>
      </w:r>
      <w:proofErr w:type="spellEnd"/>
      <w:r w:rsidRPr="000A68C6">
        <w:t xml:space="preserve"> et qui ne </w:t>
      </w:r>
      <w:proofErr w:type="spellStart"/>
      <w:r w:rsidRPr="000A68C6">
        <w:t>répondent</w:t>
      </w:r>
      <w:proofErr w:type="spellEnd"/>
      <w:r w:rsidRPr="000A68C6">
        <w:t xml:space="preserve"> pas aux dispositions des prescriptions </w:t>
      </w:r>
      <w:proofErr w:type="spellStart"/>
      <w:r w:rsidRPr="000A68C6">
        <w:t>urbanistiques</w:t>
      </w:r>
      <w:proofErr w:type="spellEnd"/>
      <w:r w:rsidRPr="000A68C6">
        <w:t xml:space="preserve"> </w:t>
      </w:r>
      <w:proofErr w:type="spellStart"/>
      <w:r w:rsidRPr="000A68C6">
        <w:t>en</w:t>
      </w:r>
      <w:proofErr w:type="spellEnd"/>
      <w:r w:rsidRPr="000A68C6">
        <w:t xml:space="preserve"> </w:t>
      </w:r>
      <w:proofErr w:type="spellStart"/>
      <w:r w:rsidRPr="000A68C6">
        <w:t>vigueur</w:t>
      </w:r>
      <w:proofErr w:type="spellEnd"/>
      <w:r w:rsidRPr="000A68C6">
        <w:t xml:space="preserve"> </w:t>
      </w:r>
      <w:proofErr w:type="spellStart"/>
      <w:r w:rsidRPr="000A68C6">
        <w:t>peuvent</w:t>
      </w:r>
      <w:proofErr w:type="spellEnd"/>
      <w:r w:rsidRPr="000A68C6">
        <w:t xml:space="preserve"> </w:t>
      </w:r>
      <w:proofErr w:type="spellStart"/>
      <w:r w:rsidRPr="000A68C6">
        <w:t>être</w:t>
      </w:r>
      <w:proofErr w:type="spellEnd"/>
      <w:r w:rsidRPr="000A68C6">
        <w:t xml:space="preserve"> </w:t>
      </w:r>
      <w:proofErr w:type="spellStart"/>
      <w:r w:rsidRPr="000A68C6">
        <w:t>reconstruites</w:t>
      </w:r>
      <w:proofErr w:type="spellEnd"/>
      <w:r w:rsidRPr="000A68C6">
        <w:t xml:space="preserve">, sans </w:t>
      </w:r>
      <w:proofErr w:type="spellStart"/>
      <w:r w:rsidRPr="000A68C6">
        <w:t>qu’un</w:t>
      </w:r>
      <w:proofErr w:type="spellEnd"/>
      <w:r w:rsidRPr="000A68C6">
        <w:t xml:space="preserve"> PAP </w:t>
      </w:r>
      <w:proofErr w:type="spellStart"/>
      <w:r w:rsidRPr="000A68C6">
        <w:t>soit</w:t>
      </w:r>
      <w:proofErr w:type="spellEnd"/>
      <w:r w:rsidRPr="000A68C6">
        <w:t xml:space="preserve"> </w:t>
      </w:r>
      <w:proofErr w:type="spellStart"/>
      <w:r w:rsidRPr="000A68C6">
        <w:t>nécessaire</w:t>
      </w:r>
      <w:proofErr w:type="spellEnd"/>
      <w:r w:rsidRPr="000A68C6">
        <w:t xml:space="preserve">, </w:t>
      </w:r>
      <w:proofErr w:type="spellStart"/>
      <w:r w:rsidRPr="000A68C6">
        <w:t>en</w:t>
      </w:r>
      <w:proofErr w:type="spellEnd"/>
      <w:r w:rsidRPr="000A68C6">
        <w:t xml:space="preserve"> </w:t>
      </w:r>
      <w:proofErr w:type="spellStart"/>
      <w:r w:rsidRPr="000A68C6">
        <w:t>cas</w:t>
      </w:r>
      <w:proofErr w:type="spellEnd"/>
      <w:r w:rsidRPr="000A68C6">
        <w:t xml:space="preserve"> de destruction </w:t>
      </w:r>
      <w:proofErr w:type="spellStart"/>
      <w:r w:rsidRPr="000A68C6">
        <w:t>involontaire</w:t>
      </w:r>
      <w:proofErr w:type="spellEnd"/>
      <w:r w:rsidRPr="000A68C6">
        <w:t xml:space="preserve">, </w:t>
      </w:r>
      <w:proofErr w:type="spellStart"/>
      <w:r w:rsidRPr="000A68C6">
        <w:t>totale</w:t>
      </w:r>
      <w:proofErr w:type="spellEnd"/>
      <w:r w:rsidRPr="000A68C6">
        <w:t xml:space="preserve"> </w:t>
      </w:r>
      <w:proofErr w:type="spellStart"/>
      <w:r w:rsidRPr="000A68C6">
        <w:t>ou</w:t>
      </w:r>
      <w:proofErr w:type="spellEnd"/>
      <w:r w:rsidRPr="000A68C6">
        <w:t xml:space="preserve"> </w:t>
      </w:r>
      <w:proofErr w:type="spellStart"/>
      <w:r w:rsidRPr="000A68C6">
        <w:t>partielle</w:t>
      </w:r>
      <w:proofErr w:type="spellEnd"/>
      <w:r w:rsidRPr="000A68C6">
        <w:t xml:space="preserve">, </w:t>
      </w:r>
      <w:proofErr w:type="spellStart"/>
      <w:r w:rsidRPr="000A68C6">
        <w:t>pouvant</w:t>
      </w:r>
      <w:proofErr w:type="spellEnd"/>
      <w:r w:rsidRPr="000A68C6">
        <w:t xml:space="preserve"> </w:t>
      </w:r>
      <w:proofErr w:type="spellStart"/>
      <w:r w:rsidRPr="000A68C6">
        <w:t>résulter</w:t>
      </w:r>
      <w:proofErr w:type="spellEnd"/>
      <w:r w:rsidRPr="000A68C6">
        <w:t xml:space="preserve"> d’un </w:t>
      </w:r>
      <w:proofErr w:type="spellStart"/>
      <w:r w:rsidRPr="000A68C6">
        <w:t>incendie</w:t>
      </w:r>
      <w:proofErr w:type="spellEnd"/>
      <w:r w:rsidRPr="000A68C6">
        <w:t xml:space="preserve">, </w:t>
      </w:r>
      <w:proofErr w:type="spellStart"/>
      <w:r w:rsidRPr="000A68C6">
        <w:t>d’une</w:t>
      </w:r>
      <w:proofErr w:type="spellEnd"/>
      <w:r w:rsidRPr="000A68C6">
        <w:t xml:space="preserve"> catastrophe </w:t>
      </w:r>
      <w:proofErr w:type="spellStart"/>
      <w:r w:rsidRPr="000A68C6">
        <w:t>naturelle</w:t>
      </w:r>
      <w:proofErr w:type="spellEnd"/>
      <w:r w:rsidRPr="000A68C6">
        <w:t xml:space="preserve">, d’un </w:t>
      </w:r>
      <w:proofErr w:type="spellStart"/>
      <w:r w:rsidRPr="000A68C6">
        <w:t>dégât</w:t>
      </w:r>
      <w:proofErr w:type="spellEnd"/>
      <w:r w:rsidRPr="000A68C6">
        <w:t xml:space="preserve"> des </w:t>
      </w:r>
      <w:proofErr w:type="spellStart"/>
      <w:r w:rsidRPr="000A68C6">
        <w:t>eaux</w:t>
      </w:r>
      <w:proofErr w:type="spellEnd"/>
      <w:r w:rsidRPr="000A68C6">
        <w:t xml:space="preserve">, d’un </w:t>
      </w:r>
      <w:proofErr w:type="spellStart"/>
      <w:r w:rsidRPr="000A68C6">
        <w:t>cas</w:t>
      </w:r>
      <w:proofErr w:type="spellEnd"/>
      <w:r w:rsidRPr="000A68C6">
        <w:t xml:space="preserve"> de force majeure, </w:t>
      </w:r>
      <w:proofErr w:type="spellStart"/>
      <w:r w:rsidRPr="000A68C6">
        <w:t>ou</w:t>
      </w:r>
      <w:proofErr w:type="spellEnd"/>
      <w:r w:rsidRPr="000A68C6">
        <w:t xml:space="preserve"> d’un </w:t>
      </w:r>
      <w:proofErr w:type="spellStart"/>
      <w:r w:rsidRPr="000A68C6">
        <w:t>événement</w:t>
      </w:r>
      <w:proofErr w:type="spellEnd"/>
      <w:r w:rsidRPr="000A68C6">
        <w:t xml:space="preserve"> </w:t>
      </w:r>
      <w:proofErr w:type="spellStart"/>
      <w:r w:rsidRPr="000A68C6">
        <w:t>similaire</w:t>
      </w:r>
      <w:proofErr w:type="spellEnd"/>
      <w:r w:rsidRPr="000A68C6">
        <w:t xml:space="preserve">, </w:t>
      </w:r>
      <w:proofErr w:type="spellStart"/>
      <w:r w:rsidRPr="000A68C6">
        <w:t>ainsi</w:t>
      </w:r>
      <w:proofErr w:type="spellEnd"/>
      <w:r w:rsidRPr="000A68C6">
        <w:t xml:space="preserve"> </w:t>
      </w:r>
      <w:proofErr w:type="spellStart"/>
      <w:r w:rsidRPr="000A68C6">
        <w:t>qu’en</w:t>
      </w:r>
      <w:proofErr w:type="spellEnd"/>
      <w:r w:rsidRPr="000A68C6">
        <w:t xml:space="preserve"> </w:t>
      </w:r>
      <w:proofErr w:type="spellStart"/>
      <w:r w:rsidRPr="000A68C6">
        <w:t>cas</w:t>
      </w:r>
      <w:proofErr w:type="spellEnd"/>
      <w:r w:rsidRPr="000A68C6">
        <w:t xml:space="preserve"> de </w:t>
      </w:r>
      <w:proofErr w:type="spellStart"/>
      <w:r w:rsidRPr="000A68C6">
        <w:t>nécessité</w:t>
      </w:r>
      <w:proofErr w:type="spellEnd"/>
      <w:r w:rsidRPr="000A68C6">
        <w:t xml:space="preserve"> </w:t>
      </w:r>
      <w:proofErr w:type="spellStart"/>
      <w:r w:rsidRPr="000A68C6">
        <w:t>reconnue</w:t>
      </w:r>
      <w:proofErr w:type="spellEnd"/>
      <w:r w:rsidRPr="000A68C6">
        <w:t xml:space="preserve"> de stabilisation de </w:t>
      </w:r>
      <w:proofErr w:type="spellStart"/>
      <w:r w:rsidRPr="000A68C6">
        <w:t>l’immeuble</w:t>
      </w:r>
      <w:proofErr w:type="spellEnd"/>
      <w:r w:rsidRPr="000A68C6">
        <w:t>.</w:t>
      </w:r>
      <w:proofErr w:type="gramEnd"/>
    </w:p>
    <w:p w14:paraId="51254C50" w14:textId="77777777" w:rsidR="009D2527" w:rsidRPr="00AD4D2D" w:rsidRDefault="009D2527" w:rsidP="00AD4D2D">
      <w:pPr>
        <w:rPr>
          <w:lang w:val="fr-FR"/>
        </w:rPr>
      </w:pPr>
      <w:bookmarkStart w:id="0" w:name="_GoBack"/>
      <w:bookmarkEnd w:id="0"/>
    </w:p>
    <w:p w14:paraId="67C11F4B" w14:textId="022096E8" w:rsidR="00AD4D2D" w:rsidRPr="00AD4D2D" w:rsidRDefault="00AD4D2D" w:rsidP="00AD4D2D">
      <w:pPr>
        <w:pStyle w:val="Titre2"/>
        <w:rPr>
          <w:lang w:val="fr-FR"/>
        </w:rPr>
      </w:pPr>
      <w:r>
        <w:rPr>
          <w:lang w:val="fr-FR"/>
        </w:rPr>
        <w:t>Art.</w:t>
      </w:r>
      <w:r w:rsidRPr="00AD4D2D">
        <w:rPr>
          <w:lang w:val="fr-FR"/>
        </w:rPr>
        <w:t xml:space="preserve"> 15.2 Minima et maxima à respecter par PAP </w:t>
      </w:r>
      <w:r>
        <w:rPr>
          <w:lang w:val="fr-FR"/>
        </w:rPr>
        <w:t>« nouveau quartier »</w:t>
      </w:r>
    </w:p>
    <w:p w14:paraId="02FB6EB7" w14:textId="77777777" w:rsidR="00AD4D2D" w:rsidRDefault="00AD4D2D" w:rsidP="00AD4D2D">
      <w:pPr>
        <w:rPr>
          <w:lang w:val="fr-FR"/>
        </w:rPr>
      </w:pPr>
      <w:r w:rsidRPr="00AD4D2D">
        <w:rPr>
          <w:lang w:val="fr-FR"/>
        </w:rPr>
        <w:t xml:space="preserve">Les valeurs maxima, voire minima, d’utilisation du sol sont définies pour les zones inscrites en PAP </w:t>
      </w:r>
      <w:r>
        <w:rPr>
          <w:lang w:val="fr-FR"/>
        </w:rPr>
        <w:t>« </w:t>
      </w:r>
      <w:r w:rsidRPr="00AD4D2D">
        <w:rPr>
          <w:lang w:val="fr-FR"/>
        </w:rPr>
        <w:t>nouveau quartier</w:t>
      </w:r>
      <w:r>
        <w:rPr>
          <w:lang w:val="fr-FR"/>
        </w:rPr>
        <w:t> »</w:t>
      </w:r>
      <w:r w:rsidRPr="00AD4D2D">
        <w:rPr>
          <w:lang w:val="fr-FR"/>
        </w:rPr>
        <w:t xml:space="preserve"> dans le casier figurant dans la partie graphique du plan d</w:t>
      </w:r>
      <w:r>
        <w:rPr>
          <w:lang w:val="fr-FR"/>
        </w:rPr>
        <w:t>’aménagement général comme suit:</w:t>
      </w:r>
    </w:p>
    <w:p w14:paraId="69754715" w14:textId="2E89C9C3" w:rsidR="00AD4D2D" w:rsidRDefault="00AD4D2D" w:rsidP="00AD4D2D">
      <w:pPr>
        <w:pStyle w:val="Paragraphedeliste"/>
        <w:numPr>
          <w:ilvl w:val="0"/>
          <w:numId w:val="7"/>
        </w:numPr>
        <w:rPr>
          <w:lang w:val="fr-FR"/>
        </w:rPr>
      </w:pPr>
      <w:proofErr w:type="gramStart"/>
      <w:r w:rsidRPr="00AD4D2D">
        <w:rPr>
          <w:lang w:val="fr-FR"/>
        </w:rPr>
        <w:t>le</w:t>
      </w:r>
      <w:proofErr w:type="gramEnd"/>
      <w:r w:rsidRPr="00AD4D2D">
        <w:rPr>
          <w:lang w:val="fr-FR"/>
        </w:rPr>
        <w:t xml:space="preserve"> coeffici</w:t>
      </w:r>
      <w:r>
        <w:rPr>
          <w:lang w:val="fr-FR"/>
        </w:rPr>
        <w:t>ent d’utilisation du sol (CUS),</w:t>
      </w:r>
    </w:p>
    <w:p w14:paraId="021AFB74" w14:textId="77777777" w:rsidR="00AD4D2D" w:rsidRDefault="00AD4D2D" w:rsidP="00AD4D2D">
      <w:pPr>
        <w:pStyle w:val="Paragraphedeliste"/>
        <w:numPr>
          <w:ilvl w:val="0"/>
          <w:numId w:val="7"/>
        </w:numPr>
        <w:rPr>
          <w:lang w:val="fr-FR"/>
        </w:rPr>
      </w:pPr>
      <w:proofErr w:type="gramStart"/>
      <w:r w:rsidRPr="00AD4D2D">
        <w:rPr>
          <w:lang w:val="fr-FR"/>
        </w:rPr>
        <w:t>le</w:t>
      </w:r>
      <w:proofErr w:type="gramEnd"/>
      <w:r w:rsidRPr="00AD4D2D">
        <w:rPr>
          <w:lang w:val="fr-FR"/>
        </w:rPr>
        <w:t xml:space="preserve"> coeffic</w:t>
      </w:r>
      <w:r>
        <w:rPr>
          <w:lang w:val="fr-FR"/>
        </w:rPr>
        <w:t>ient d’occupation du sol (COS),</w:t>
      </w:r>
    </w:p>
    <w:p w14:paraId="4812E0E1" w14:textId="09559CFF" w:rsidR="00AD4D2D" w:rsidRDefault="00AD4D2D" w:rsidP="00AD4D2D">
      <w:pPr>
        <w:pStyle w:val="Paragraphedeliste"/>
        <w:numPr>
          <w:ilvl w:val="0"/>
          <w:numId w:val="7"/>
        </w:numPr>
        <w:rPr>
          <w:lang w:val="fr-FR"/>
        </w:rPr>
      </w:pPr>
      <w:proofErr w:type="gramStart"/>
      <w:r w:rsidRPr="00AD4D2D">
        <w:rPr>
          <w:lang w:val="fr-FR"/>
        </w:rPr>
        <w:t>le</w:t>
      </w:r>
      <w:proofErr w:type="gramEnd"/>
      <w:r w:rsidRPr="00AD4D2D">
        <w:rPr>
          <w:lang w:val="fr-FR"/>
        </w:rPr>
        <w:t xml:space="preserve"> coeffic</w:t>
      </w:r>
      <w:r>
        <w:rPr>
          <w:lang w:val="fr-FR"/>
        </w:rPr>
        <w:t>ient de scellement du sol (CSS)</w:t>
      </w:r>
    </w:p>
    <w:p w14:paraId="72354C67" w14:textId="6FF9654B" w:rsidR="00AD4D2D" w:rsidRPr="00AD4D2D" w:rsidRDefault="00AD4D2D" w:rsidP="00AD4D2D">
      <w:pPr>
        <w:pStyle w:val="Paragraphedeliste"/>
        <w:numPr>
          <w:ilvl w:val="0"/>
          <w:numId w:val="7"/>
        </w:numPr>
        <w:rPr>
          <w:lang w:val="fr-FR"/>
        </w:rPr>
      </w:pPr>
      <w:proofErr w:type="gramStart"/>
      <w:r w:rsidRPr="00AD4D2D">
        <w:rPr>
          <w:lang w:val="fr-FR"/>
        </w:rPr>
        <w:t>la</w:t>
      </w:r>
      <w:proofErr w:type="gramEnd"/>
      <w:r w:rsidRPr="00AD4D2D">
        <w:rPr>
          <w:lang w:val="fr-FR"/>
        </w:rPr>
        <w:t xml:space="preserve"> densité de logements (DL); cette valeur est uniquement indiquée pour les nouveaux quartiers superposés à une zone d’</w:t>
      </w:r>
      <w:r>
        <w:rPr>
          <w:lang w:val="fr-FR"/>
        </w:rPr>
        <w:t>habitation ou à une zone mixte.</w:t>
      </w:r>
    </w:p>
    <w:p w14:paraId="38FDEE07" w14:textId="4DAFD712" w:rsidR="006605E2" w:rsidRDefault="00AD4D2D" w:rsidP="00AD4D2D">
      <w:pPr>
        <w:rPr>
          <w:lang w:val="fr-FR"/>
        </w:rPr>
      </w:pPr>
      <w:r w:rsidRPr="00AD4D2D">
        <w:rPr>
          <w:lang w:val="fr-FR"/>
        </w:rPr>
        <w:t>Les coefficients de chaque casier se réfèrent aux surfaces comprises à l’intérieur du trait gras noir renseignant la délimitation du degré d’utilisation du sol. Le casier-type ci-après en explique la lecture:</w:t>
      </w:r>
    </w:p>
    <w:p w14:paraId="5422A22D" w14:textId="49CFC2BB" w:rsidR="00AD4D2D" w:rsidRDefault="00AD4D2D" w:rsidP="00AD4D2D">
      <w:pPr>
        <w:jc w:val="center"/>
        <w:rPr>
          <w:lang w:val="fr-FR"/>
        </w:rPr>
      </w:pPr>
      <w:r>
        <w:rPr>
          <w:noProof/>
          <w:lang w:val="fr-FR" w:eastAsia="fr-FR"/>
        </w:rPr>
        <w:drawing>
          <wp:inline distT="0" distB="0" distL="0" distR="0" wp14:anchorId="19E37984" wp14:editId="67CA4149">
            <wp:extent cx="1664335" cy="7740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1D16EA" w14:textId="3F20BBEE" w:rsidR="00AD4D2D" w:rsidRPr="00AD4D2D" w:rsidRDefault="00AD4D2D" w:rsidP="00AD4D2D">
      <w:pPr>
        <w:rPr>
          <w:lang w:val="fr-FR"/>
        </w:rPr>
      </w:pPr>
      <w:r w:rsidRPr="00AD4D2D">
        <w:rPr>
          <w:lang w:val="fr-FR"/>
        </w:rPr>
        <w:lastRenderedPageBreak/>
        <w:t xml:space="preserve">Pour tout plan d’aménagement particulier </w:t>
      </w:r>
      <w:r>
        <w:rPr>
          <w:lang w:val="fr-FR"/>
        </w:rPr>
        <w:t>« </w:t>
      </w:r>
      <w:r w:rsidRPr="00AD4D2D">
        <w:rPr>
          <w:lang w:val="fr-FR"/>
        </w:rPr>
        <w:t>nouveau quartier</w:t>
      </w:r>
      <w:r>
        <w:rPr>
          <w:lang w:val="fr-FR"/>
        </w:rPr>
        <w:t> »</w:t>
      </w:r>
      <w:r w:rsidRPr="00AD4D2D">
        <w:rPr>
          <w:lang w:val="fr-FR"/>
        </w:rPr>
        <w:t>, les coefficients précités constituent des valeurs moyennes qui sont à respecter pour l’ensemble des fonds sis à l’intérieur de chaque zone.</w:t>
      </w:r>
    </w:p>
    <w:p w14:paraId="4B9DF7F8" w14:textId="56B625DF" w:rsidR="00AD4D2D" w:rsidRPr="00AD4D2D" w:rsidRDefault="00AD4D2D" w:rsidP="00AD4D2D">
      <w:pPr>
        <w:pStyle w:val="Titre2"/>
        <w:rPr>
          <w:lang w:val="fr-FR"/>
        </w:rPr>
      </w:pPr>
      <w:r>
        <w:rPr>
          <w:lang w:val="fr-FR"/>
        </w:rPr>
        <w:t>Art.</w:t>
      </w:r>
      <w:r w:rsidRPr="00AD4D2D">
        <w:rPr>
          <w:lang w:val="fr-FR"/>
        </w:rPr>
        <w:t xml:space="preserve"> 15.4 Validation des PAP NQ pendant la procédure d’approbation du PAG</w:t>
      </w:r>
    </w:p>
    <w:p w14:paraId="063EB053" w14:textId="60E580C2" w:rsidR="00AD4D2D" w:rsidRPr="00AD4D2D" w:rsidRDefault="00AD4D2D" w:rsidP="00AD4D2D">
      <w:pPr>
        <w:rPr>
          <w:lang w:val="fr-FR"/>
        </w:rPr>
      </w:pPr>
      <w:r w:rsidRPr="00AD4D2D">
        <w:rPr>
          <w:lang w:val="fr-FR"/>
        </w:rPr>
        <w:t xml:space="preserve">Les plans d’aménagement particulier </w:t>
      </w:r>
      <w:r>
        <w:rPr>
          <w:lang w:val="fr-FR"/>
        </w:rPr>
        <w:t>« </w:t>
      </w:r>
      <w:r w:rsidRPr="00AD4D2D">
        <w:rPr>
          <w:lang w:val="fr-FR"/>
        </w:rPr>
        <w:t>nouveau quartier</w:t>
      </w:r>
      <w:r>
        <w:rPr>
          <w:lang w:val="fr-FR"/>
        </w:rPr>
        <w:t> »</w:t>
      </w:r>
      <w:r w:rsidRPr="00AD4D2D">
        <w:rPr>
          <w:lang w:val="fr-FR"/>
        </w:rPr>
        <w:t xml:space="preserve"> approuvés par le Ministre de l’Intérieur entre l’entrée en procédure et l’entrée en vigueur du présent plan d’aménagement général restent d’application.</w:t>
      </w:r>
    </w:p>
    <w:p w14:paraId="139F72DA" w14:textId="626881D5" w:rsidR="00AD4D2D" w:rsidRPr="006605E2" w:rsidRDefault="00AD4D2D" w:rsidP="00AD4D2D">
      <w:pPr>
        <w:rPr>
          <w:lang w:val="fr-FR"/>
        </w:rPr>
      </w:pPr>
      <w:r w:rsidRPr="00AD4D2D">
        <w:rPr>
          <w:lang w:val="fr-FR"/>
        </w:rPr>
        <w:t xml:space="preserve">Tout plan d’aménagement particulier </w:t>
      </w:r>
      <w:r>
        <w:rPr>
          <w:lang w:val="fr-FR"/>
        </w:rPr>
        <w:t>« </w:t>
      </w:r>
      <w:r w:rsidRPr="00AD4D2D">
        <w:rPr>
          <w:lang w:val="fr-FR"/>
        </w:rPr>
        <w:t>nouveau quartier</w:t>
      </w:r>
      <w:r>
        <w:rPr>
          <w:lang w:val="fr-FR"/>
        </w:rPr>
        <w:t> »</w:t>
      </w:r>
      <w:r w:rsidRPr="00AD4D2D">
        <w:rPr>
          <w:lang w:val="fr-FR"/>
        </w:rPr>
        <w:t>, pour lequel la procédure d’adoption est entamée pendant la phase d’adoption du présent PAG, peut être mené à terme et garde par la suite sa validité.</w:t>
      </w:r>
    </w:p>
    <w:sectPr w:rsidR="00AD4D2D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3750E"/>
    <w:multiLevelType w:val="hybridMultilevel"/>
    <w:tmpl w:val="F0825D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2527"/>
    <w:rsid w:val="009D6555"/>
    <w:rsid w:val="00A610F9"/>
    <w:rsid w:val="00AD4D2D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rsid w:val="00CF3132"/>
    <w:pPr>
      <w:ind w:left="720"/>
    </w:pPr>
  </w:style>
  <w:style w:type="character" w:customStyle="1" w:styleId="Titre1Car">
    <w:name w:val="Titre 1 Car"/>
    <w:basedOn w:val="Policepardfaut"/>
    <w:link w:val="Titre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Titre3Car">
    <w:name w:val="Titre 3 Car"/>
    <w:basedOn w:val="Policepardfaut"/>
    <w:link w:val="Titre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Lienhypertexte">
    <w:name w:val="Hyperlink"/>
    <w:basedOn w:val="Policepardfaut"/>
    <w:uiPriority w:val="99"/>
    <w:semiHidden/>
    <w:rsid w:val="009D6555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reCar">
    <w:name w:val="Titre Car"/>
    <w:basedOn w:val="Policepardfaut"/>
    <w:link w:val="Titre"/>
    <w:uiPriority w:val="10"/>
    <w:rsid w:val="00FB7B2F"/>
    <w:rPr>
      <w:rFonts w:ascii="Arial" w:hAnsi="Arial"/>
      <w:caps/>
      <w:noProof/>
      <w:sz w:val="26"/>
      <w:lang w:val="en-US"/>
    </w:rPr>
  </w:style>
  <w:style w:type="table" w:styleId="Grilledutableau">
    <w:name w:val="Table Grid"/>
    <w:basedOn w:val="TableauNormal"/>
    <w:uiPriority w:val="59"/>
    <w:rsid w:val="00AD4D2D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David Hottua</cp:lastModifiedBy>
  <cp:revision>19</cp:revision>
  <dcterms:created xsi:type="dcterms:W3CDTF">2019-11-19T06:33:00Z</dcterms:created>
  <dcterms:modified xsi:type="dcterms:W3CDTF">2021-05-14T12:47:00Z</dcterms:modified>
</cp:coreProperties>
</file>