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B1F46E" w14:textId="28D4DFA1" w:rsidR="004566C3" w:rsidRPr="004566C3" w:rsidRDefault="004566C3" w:rsidP="004566C3">
      <w:pPr>
        <w:pStyle w:val="Heading1"/>
        <w:rPr>
          <w:lang w:val="fr-FR"/>
        </w:rPr>
      </w:pPr>
      <w:r>
        <w:rPr>
          <w:lang w:val="fr-FR"/>
        </w:rPr>
        <w:t>Art.</w:t>
      </w:r>
      <w:r w:rsidRPr="004566C3">
        <w:rPr>
          <w:lang w:val="fr-FR"/>
        </w:rPr>
        <w:t xml:space="preserve"> 16 Zone d'aménagement différé</w:t>
      </w:r>
    </w:p>
    <w:p w14:paraId="78B29A9D" w14:textId="77777777" w:rsidR="004566C3" w:rsidRPr="004566C3" w:rsidRDefault="004566C3" w:rsidP="004566C3">
      <w:pPr>
        <w:rPr>
          <w:lang w:val="fr-FR"/>
        </w:rPr>
      </w:pPr>
      <w:r w:rsidRPr="004566C3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6AA23BB3" w14:textId="77777777" w:rsidR="004566C3" w:rsidRPr="004566C3" w:rsidRDefault="004566C3" w:rsidP="004566C3">
      <w:pPr>
        <w:rPr>
          <w:lang w:val="fr-FR"/>
        </w:rPr>
      </w:pPr>
      <w:r w:rsidRPr="004566C3">
        <w:rPr>
          <w:lang w:val="fr-FR"/>
        </w:rPr>
        <w:t>Pour les constructions existantes situées dans cette zone des travaux peuvent exceptionnellement être admis sans qu’une modification du plan d’aménagement général ni l’établissement d’un PAP soient nécessaires, ceci à condition que les travaux visés respectent les affectations permises par la zone de base du PAG et n’augmentent pas la surface construite brute existante de plus de 25m</w:t>
      </w:r>
      <w:r w:rsidRPr="004566C3">
        <w:rPr>
          <w:vertAlign w:val="superscript"/>
          <w:lang w:val="fr-FR"/>
        </w:rPr>
        <w:t>2</w:t>
      </w:r>
      <w:r w:rsidRPr="004566C3">
        <w:rPr>
          <w:lang w:val="fr-FR"/>
        </w:rPr>
        <w:t>.</w:t>
      </w:r>
    </w:p>
    <w:p w14:paraId="627BC962" w14:textId="249E13EC" w:rsidR="004566C3" w:rsidRPr="004566C3" w:rsidRDefault="004566C3" w:rsidP="004566C3">
      <w:pPr>
        <w:rPr>
          <w:lang w:val="fr-FR"/>
        </w:rPr>
      </w:pPr>
      <w:r w:rsidRPr="004566C3">
        <w:rPr>
          <w:lang w:val="fr-FR"/>
        </w:rPr>
        <w:t>Les zones d’aménagement différé constituent en principe des réserves foncières destinées à être ur</w:t>
      </w:r>
      <w:r>
        <w:rPr>
          <w:lang w:val="fr-FR"/>
        </w:rPr>
        <w:t>banisées à moyen ou long terme.</w:t>
      </w:r>
      <w:bookmarkStart w:id="0" w:name="_GoBack"/>
      <w:bookmarkEnd w:id="0"/>
    </w:p>
    <w:p w14:paraId="38FDEE07" w14:textId="4722D17D" w:rsidR="006605E2" w:rsidRPr="006605E2" w:rsidRDefault="004566C3" w:rsidP="00732511">
      <w:pPr>
        <w:rPr>
          <w:lang w:val="fr-FR"/>
        </w:rPr>
      </w:pPr>
      <w:r w:rsidRPr="004566C3">
        <w:rPr>
          <w:lang w:val="fr-FR"/>
        </w:rPr>
        <w:t>La décision de lever le statut de la zone d’aménagement différé fait l’objet d’une procédure de modification</w:t>
      </w:r>
      <w:r>
        <w:rPr>
          <w:lang w:val="fr-FR"/>
        </w:rPr>
        <w:t xml:space="preserve">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566C3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2021-01-27T15:51:00Z</dcterms:modified>
</cp:coreProperties>
</file>