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DDEBC" w14:textId="16E4B6C0" w:rsidR="009C6A99" w:rsidRDefault="009C6A99" w:rsidP="009C6A99">
      <w:pPr>
        <w:pStyle w:val="Heading3"/>
      </w:pPr>
      <w:r>
        <w:t>Art. 12.2.3 Eléments protégés de type « environnement construit »</w:t>
      </w:r>
    </w:p>
    <w:p w14:paraId="7926C36F" w14:textId="5F43920E" w:rsidR="009C6A99" w:rsidRDefault="009C6A99" w:rsidP="009C6A99">
      <w:pPr>
        <w:pStyle w:val="Heading4"/>
      </w:pPr>
      <w:r>
        <w:t>Art. 12.2.3.1 Construction à conserver et petit patrimoine à conserver</w:t>
      </w:r>
    </w:p>
    <w:p w14:paraId="5F24842A" w14:textId="77777777" w:rsidR="009C6A99" w:rsidRDefault="009C6A99" w:rsidP="009C6A99">
      <w:r>
        <w:t>Les constructions à conserver et les constructions constituant le petit patrimoine protégé sont renseignées dans la partie graphique du présent PAG.</w:t>
      </w:r>
    </w:p>
    <w:p w14:paraId="16EF2F6E" w14:textId="77777777" w:rsidR="009C6A99" w:rsidRDefault="009C6A99" w:rsidP="009C6A99">
      <w:r>
        <w:t>Les constructions à conserver ne pourront subir aucune démolition, transformation, modification ou agrandissement qui pourrait nuire à la valeur historique, artistique ou esthétique ou à leur aspect architectural.</w:t>
      </w:r>
    </w:p>
    <w:p w14:paraId="70FB3F36" w14:textId="45D790F5" w:rsidR="009C6A99" w:rsidRDefault="009C6A99" w:rsidP="009C6A99">
      <w:r>
        <w:t>Toute intervention sur une construction à conserver doit veiller à la conservation et à la mise en valeur des composantes architecturales existantes à l’extérieur du bâtiment, à savoir:</w:t>
      </w:r>
    </w:p>
    <w:p w14:paraId="737F5A79" w14:textId="77777777" w:rsidR="009C6A99" w:rsidRDefault="009C6A99" w:rsidP="009C6A99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rythme entre surfaces pleines et vides</w:t>
      </w:r>
    </w:p>
    <w:p w14:paraId="5C26A074" w14:textId="77777777" w:rsidR="009C6A99" w:rsidRDefault="009C6A99" w:rsidP="009C6A99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formes et éléments de toiture</w:t>
      </w:r>
    </w:p>
    <w:p w14:paraId="17E361D0" w14:textId="77777777" w:rsidR="009C6A99" w:rsidRDefault="009C6A99" w:rsidP="009C6A99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dimensions, formes et position des baies</w:t>
      </w:r>
    </w:p>
    <w:p w14:paraId="73574447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modénatures dont les encadrements de portes et fenêtres</w:t>
      </w:r>
    </w:p>
    <w:p w14:paraId="4A127C17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éléments de décoration qui caractérisent ledit bâtiment</w:t>
      </w:r>
    </w:p>
    <w:p w14:paraId="4C568A9A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matériaux utilisés traditionnellement</w:t>
      </w:r>
    </w:p>
    <w:p w14:paraId="3957BD1F" w14:textId="38F5589B" w:rsidR="00E44232" w:rsidRPr="007D461A" w:rsidRDefault="009C6A99" w:rsidP="00E44232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revêtements et teintes traditionnels, ceci dans le respect des teintes définies au point Art.12.2.4.</w:t>
      </w:r>
      <w:bookmarkStart w:id="0" w:name="_GoBack"/>
      <w:bookmarkEnd w:id="0"/>
    </w:p>
    <w:sectPr w:rsidR="00E4423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E79"/>
    <w:multiLevelType w:val="hybridMultilevel"/>
    <w:tmpl w:val="DBBA17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F5AA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C6A9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4423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2023-12-29T08:54:00Z</dcterms:modified>
</cp:coreProperties>
</file>