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316E60" w14:textId="67DEB24C" w:rsidR="00F926F2" w:rsidRDefault="00F926F2" w:rsidP="00F926F2">
      <w:pPr>
        <w:pStyle w:val="Heading1"/>
      </w:pPr>
      <w:r>
        <w:t>Art. 14 Les zones délimitant les fonds soumis à l’élaboration d’un plan d’aménagement particulier « nouveau quartier »</w:t>
      </w:r>
    </w:p>
    <w:p w14:paraId="2D6436C3" w14:textId="535807E4" w:rsidR="00F926F2" w:rsidRDefault="00F926F2" w:rsidP="00F926F2">
      <w:r>
        <w:t>Le développement urbain dans ces zones est orienté par le schéma directeur. Ces zones font l’objet d’un ou de plusieurs plans d’aménagement particulier « nouveau quartier ».</w:t>
      </w:r>
    </w:p>
    <w:p w14:paraId="07E6B8A6" w14:textId="5AFE27B8" w:rsidR="00032548" w:rsidRDefault="00F926F2" w:rsidP="00F926F2">
      <w:r>
        <w:t>Dans ces zones, des aménagements et des constructions d’utilité publique nécessaires à la mise en oeuvre du plan d’aménagement général, en application de l’article 23 de la loi modifiée du 19 juillet 2004 concernant l’aménagement communal et le développement urbain, à réaliser par la Commune, l’Etat ou des gestionnaires de réseaux peuvent être admis sans qu’un PAP soit nécessaire, à condition que leur implantation se limite au strict minimum et qu’un soin particulier soit apporté à leur intégration dans le site.</w:t>
      </w:r>
      <w:bookmarkStart w:id="0" w:name="_GoBack"/>
      <w:bookmarkEnd w:id="0"/>
    </w:p>
    <w:p w14:paraId="38FDEE07" w14:textId="1F54CFA8" w:rsidR="006605E2" w:rsidRPr="007D461A" w:rsidRDefault="00F926F2" w:rsidP="00F926F2">
      <w:r>
        <w:t>Pour les constructions existantes situées dans ces zones, des travaux sont admis sans qu’un PAP ne soit nécessaire, à condition que ces travaux respectent les affectations permises par la zone de base du PAG et n’augmentent pas la surface construite brute* existante de plus de 25 m</w:t>
      </w:r>
      <w:r w:rsidRPr="00F926F2">
        <w:rPr>
          <w:vertAlign w:val="superscript"/>
        </w:rPr>
        <w:t>2</w:t>
      </w:r>
      <w:r>
        <w:t xml:space="preserve"> ni le nombre de logements existants.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32548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926F2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2023-12-29T08:56:00Z</dcterms:modified>
</cp:coreProperties>
</file>