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3C42C" w14:textId="0049B69D" w:rsidR="006D745F" w:rsidRPr="006D745F" w:rsidRDefault="00D94521" w:rsidP="006D745F">
      <w:pPr>
        <w:pStyle w:val="Heading1"/>
      </w:pPr>
      <w:r w:rsidRPr="00D94521">
        <w:t>Art. 14 Catégories</w:t>
      </w:r>
    </w:p>
    <w:p w14:paraId="7C09A640" w14:textId="77777777" w:rsidR="00D94521" w:rsidRPr="00D94521" w:rsidRDefault="00D94521" w:rsidP="00D94521">
      <w:r w:rsidRPr="00D94521">
        <w:t>Les zones superposées comportent:</w:t>
      </w:r>
    </w:p>
    <w:p w14:paraId="193BD6FE" w14:textId="77777777" w:rsidR="00D94521" w:rsidRPr="00D94521" w:rsidRDefault="00D94521" w:rsidP="00D94521">
      <w:pPr>
        <w:numPr>
          <w:ilvl w:val="0"/>
          <w:numId w:val="7"/>
        </w:numPr>
      </w:pPr>
      <w:r w:rsidRPr="00D94521">
        <w:t>Les zones délimitant les fonds soumis à l’élaboration d’un plan d’aménagement particulier « nouveau quartier »;</w:t>
      </w:r>
    </w:p>
    <w:p w14:paraId="27B39DED" w14:textId="77777777" w:rsidR="00D94521" w:rsidRPr="00D94521" w:rsidRDefault="00D94521" w:rsidP="00D94521">
      <w:pPr>
        <w:numPr>
          <w:ilvl w:val="0"/>
          <w:numId w:val="7"/>
        </w:numPr>
      </w:pPr>
      <w:r w:rsidRPr="00D94521">
        <w:t>Les zones délimitant les plans d’aménagement particulier approuvés;</w:t>
      </w:r>
    </w:p>
    <w:p w14:paraId="30BE43CC" w14:textId="77777777" w:rsidR="00D94521" w:rsidRPr="00D94521" w:rsidRDefault="00D94521" w:rsidP="00D94521">
      <w:pPr>
        <w:numPr>
          <w:ilvl w:val="0"/>
          <w:numId w:val="7"/>
        </w:numPr>
      </w:pPr>
      <w:r w:rsidRPr="00D94521">
        <w:t>Les zones d’aménagement différé;</w:t>
      </w:r>
    </w:p>
    <w:p w14:paraId="0E3BB384" w14:textId="77777777" w:rsidR="00D94521" w:rsidRPr="00D94521" w:rsidRDefault="00D94521" w:rsidP="00D94521">
      <w:pPr>
        <w:numPr>
          <w:ilvl w:val="0"/>
          <w:numId w:val="7"/>
        </w:numPr>
      </w:pPr>
      <w:r w:rsidRPr="00D94521">
        <w:t>Les zones de servitude « urbanisation »;</w:t>
      </w:r>
    </w:p>
    <w:p w14:paraId="23629098" w14:textId="77777777" w:rsidR="00D94521" w:rsidRPr="00D94521" w:rsidRDefault="00D94521" w:rsidP="00D94521">
      <w:pPr>
        <w:numPr>
          <w:ilvl w:val="0"/>
          <w:numId w:val="7"/>
        </w:numPr>
      </w:pPr>
      <w:r w:rsidRPr="00D94521">
        <w:t>Les zones de servitudes « couloir et espaces réservés »;</w:t>
      </w:r>
    </w:p>
    <w:p w14:paraId="1751CF31" w14:textId="77777777" w:rsidR="00D94521" w:rsidRPr="00D94521" w:rsidRDefault="00D94521" w:rsidP="00D94521">
      <w:pPr>
        <w:numPr>
          <w:ilvl w:val="0"/>
          <w:numId w:val="7"/>
        </w:numPr>
      </w:pPr>
      <w:r w:rsidRPr="00D94521">
        <w:t>Les secteurs et éléments protégés d’intérêt communal.</w:t>
      </w:r>
    </w:p>
    <w:p w14:paraId="7B2C9B2F" w14:textId="77777777" w:rsidR="000D5EB2" w:rsidRDefault="000D5EB2" w:rsidP="000D5EB2">
      <w:pPr>
        <w:pStyle w:val="Heading1"/>
      </w:pPr>
      <w:r>
        <w:t>Art. 20 Secteurs et éléments protégés d’intérêt communal</w:t>
      </w:r>
    </w:p>
    <w:p w14:paraId="3944823E" w14:textId="029E2717" w:rsidR="000D5EB2" w:rsidRDefault="000D5EB2" w:rsidP="000D5EB2">
      <w:pPr>
        <w:pStyle w:val="Heading2"/>
      </w:pPr>
      <w:r>
        <w:t>Art. 20.1 Secteurs et éléments protégés d’intérêt communal de type « environnement construit » « C »</w:t>
      </w:r>
    </w:p>
    <w:p w14:paraId="13562F8C" w14:textId="4D36E091" w:rsidR="000D5EB2" w:rsidRDefault="000D5EB2" w:rsidP="000D5EB2">
      <w:r>
        <w:t>Les secteurs et éléments protégés d’intérêt communal de type « environnement construit » constituent les parties du territoire communal de Vichten qui comprennent des immeubles ou parties d’immeubles dignes de protection et qui répondent à un ou plusieurs des critères suivants:</w:t>
      </w:r>
    </w:p>
    <w:p w14:paraId="5639207A" w14:textId="77777777" w:rsidR="000D5EB2" w:rsidRDefault="000D5EB2" w:rsidP="000D5EB2">
      <w:pPr>
        <w:pStyle w:val="ListParagraph"/>
        <w:numPr>
          <w:ilvl w:val="0"/>
          <w:numId w:val="8"/>
        </w:numPr>
      </w:pPr>
      <w:r>
        <w:t>Authenticité de la substance bâtie et de son aménagement (SB);</w:t>
      </w:r>
    </w:p>
    <w:p w14:paraId="63055BBE" w14:textId="77777777" w:rsidR="000D5EB2" w:rsidRDefault="000D5EB2" w:rsidP="000D5EB2">
      <w:pPr>
        <w:pStyle w:val="ListParagraph"/>
        <w:numPr>
          <w:ilvl w:val="0"/>
          <w:numId w:val="8"/>
        </w:numPr>
      </w:pPr>
      <w:r>
        <w:t>Rareté du type de bâtiment (R);</w:t>
      </w:r>
    </w:p>
    <w:p w14:paraId="5CFCB52E" w14:textId="77777777" w:rsidR="000D5EB2" w:rsidRDefault="000D5EB2" w:rsidP="000D5EB2">
      <w:pPr>
        <w:pStyle w:val="ListParagraph"/>
        <w:numPr>
          <w:ilvl w:val="0"/>
          <w:numId w:val="8"/>
        </w:numPr>
      </w:pPr>
      <w:r>
        <w:t>Exemplarité du type de bâtiment (Ex);</w:t>
      </w:r>
    </w:p>
    <w:p w14:paraId="19911927" w14:textId="77777777" w:rsidR="000D5EB2" w:rsidRDefault="000D5EB2" w:rsidP="000D5EB2">
      <w:pPr>
        <w:pStyle w:val="ListParagraph"/>
        <w:numPr>
          <w:ilvl w:val="0"/>
          <w:numId w:val="8"/>
        </w:numPr>
      </w:pPr>
      <w:r>
        <w:t>Importance architecturale (A);</w:t>
      </w:r>
    </w:p>
    <w:p w14:paraId="1F1FF930" w14:textId="44CB73AE" w:rsidR="000D5EB2" w:rsidRDefault="000D5EB2" w:rsidP="00EF0094">
      <w:pPr>
        <w:pStyle w:val="ListParagraph"/>
        <w:numPr>
          <w:ilvl w:val="0"/>
          <w:numId w:val="8"/>
        </w:numPr>
      </w:pPr>
      <w:r>
        <w:t>Témoignage de l’immeuble pour l’histoire nationale, locale, sociale, politique, religieuse, militaire, technique ou industrielle (T).</w:t>
      </w:r>
    </w:p>
    <w:p w14:paraId="38FDEE07" w14:textId="0F8F3778" w:rsidR="006605E2" w:rsidRDefault="000D5EB2" w:rsidP="000D5EB2">
      <w:r>
        <w:t>Les secteurs et éléments protégés d’intérêt communal de type « environnement construit » sont soumis à des servitudes spéciales de sauvegarde et de protection, définies ci-après. Ces servitudes s’appliquent à tout projet de construction, démolition, reconstruction, transformation ou aménagement.</w:t>
      </w:r>
    </w:p>
    <w:p w14:paraId="6AD01C8B" w14:textId="77777777" w:rsidR="00AF61D3" w:rsidRPr="007008AF" w:rsidRDefault="00AF61D3" w:rsidP="00AF61D3">
      <w:pPr>
        <w:rPr>
          <w:u w:val="single"/>
        </w:rPr>
      </w:pPr>
      <w:r w:rsidRPr="007008AF">
        <w:rPr>
          <w:u w:val="single"/>
        </w:rPr>
        <w:t>a) Dispositions générales</w:t>
      </w:r>
    </w:p>
    <w:p w14:paraId="4CE3EEB7" w14:textId="77777777" w:rsidR="00AF61D3" w:rsidRDefault="00AF61D3" w:rsidP="00AF61D3">
      <w:r>
        <w:t>Les secteurs et éléments protégés d’intérêt communal de type « environnement construit » sont marqués de la surimpression « C » dans la partie graphique du plan d’aménagement général. Ils comprennent les immeubles dignes de protection, identifiés en partie graphique, et relevant des catégories suivantes:</w:t>
      </w:r>
    </w:p>
    <w:p w14:paraId="5F49C3D0" w14:textId="77777777" w:rsidR="00AF61D3" w:rsidRDefault="00AF61D3" w:rsidP="00AF61D3">
      <w:pPr>
        <w:pStyle w:val="ListParagraph"/>
        <w:numPr>
          <w:ilvl w:val="0"/>
          <w:numId w:val="9"/>
        </w:numPr>
      </w:pPr>
      <w:r>
        <w:t>Les constructions à conserver: elles correspondent aux immeubles qui ont, dans le l’agencement du tissu urbain, une fonction représentative et/ou stratégique. Les constructions à conserver incluent les murs et murets.</w:t>
      </w:r>
    </w:p>
    <w:p w14:paraId="2BE9DA88" w14:textId="77777777" w:rsidR="00AF61D3" w:rsidRDefault="00AF61D3" w:rsidP="00AF61D3">
      <w:pPr>
        <w:pStyle w:val="ListParagraph"/>
        <w:numPr>
          <w:ilvl w:val="0"/>
          <w:numId w:val="9"/>
        </w:numPr>
      </w:pPr>
      <w:r>
        <w:lastRenderedPageBreak/>
        <w:t>Les gabarits à préserver : ils correspondent aux immeubles dont la morphologie et l’implantation sont représentatifs et participent au caractère villageois des localités, mais dont certains éléments extérieurs peuvent ne plus être en accord avec le caractère d’origine du bâtiment.</w:t>
      </w:r>
    </w:p>
    <w:p w14:paraId="45715053" w14:textId="77777777" w:rsidR="00AF61D3" w:rsidRDefault="00AF61D3" w:rsidP="00AF61D3">
      <w:pPr>
        <w:pStyle w:val="ListParagraph"/>
        <w:numPr>
          <w:ilvl w:val="0"/>
          <w:numId w:val="9"/>
        </w:numPr>
      </w:pPr>
      <w:r>
        <w:t>Le petit patrimoine à conserver: il englobe les éléments à caractère religieux ou non, de type calvaire, chapelle, témoignage historique bâti;</w:t>
      </w:r>
    </w:p>
    <w:p w14:paraId="27234D7B" w14:textId="77777777" w:rsidR="00AF61D3" w:rsidRDefault="00AF61D3" w:rsidP="00AF61D3">
      <w:r>
        <w:t>Les « constructions à conserver » et les « gabarits à préserver » sont repris dans la liste constituant l’annexe 3 de la présente partie écrite du PAG.</w:t>
      </w:r>
    </w:p>
    <w:p w14:paraId="10602C8C" w14:textId="77777777" w:rsidR="00AF61D3" w:rsidRDefault="00AF61D3" w:rsidP="00AF61D3">
      <w:r>
        <w:t>Pour tout projet ou aménagement, les caractéristiques du bâti traditionnel doivent être respectées, notamment:</w:t>
      </w:r>
    </w:p>
    <w:p w14:paraId="5499A790" w14:textId="77777777" w:rsidR="00AF61D3" w:rsidRDefault="00AF61D3" w:rsidP="00AF61D3">
      <w:pPr>
        <w:pStyle w:val="ListParagraph"/>
        <w:numPr>
          <w:ilvl w:val="0"/>
          <w:numId w:val="10"/>
        </w:numPr>
      </w:pPr>
      <w:r>
        <w:t>Le tracé des rues, l’espace-rue et la structure du parcellaire;</w:t>
      </w:r>
    </w:p>
    <w:p w14:paraId="25BE1BB3" w14:textId="77777777" w:rsidR="00AF61D3" w:rsidRDefault="00AF61D3" w:rsidP="00AF61D3">
      <w:pPr>
        <w:pStyle w:val="ListParagraph"/>
        <w:numPr>
          <w:ilvl w:val="0"/>
          <w:numId w:val="10"/>
        </w:numPr>
      </w:pPr>
      <w:r>
        <w:t>L’implantation des constructions;</w:t>
      </w:r>
    </w:p>
    <w:p w14:paraId="09397A72" w14:textId="77777777" w:rsidR="00AF61D3" w:rsidRDefault="00AF61D3" w:rsidP="00AF61D3">
      <w:pPr>
        <w:pStyle w:val="ListParagraph"/>
        <w:numPr>
          <w:ilvl w:val="0"/>
          <w:numId w:val="10"/>
        </w:numPr>
      </w:pPr>
      <w:r>
        <w:t>Les typologies architecturales incluant les formes et ouvertures de toiture, les baies de façade, les modénatures, les matériaux;</w:t>
      </w:r>
    </w:p>
    <w:p w14:paraId="7D1B27C6" w14:textId="77777777" w:rsidR="00AF61D3" w:rsidRDefault="00AF61D3" w:rsidP="00AF61D3">
      <w:pPr>
        <w:pStyle w:val="ListParagraph"/>
        <w:numPr>
          <w:ilvl w:val="0"/>
          <w:numId w:val="10"/>
        </w:numPr>
      </w:pPr>
      <w:r>
        <w:t>Les pour les façades:</w:t>
      </w:r>
    </w:p>
    <w:p w14:paraId="15D1D842" w14:textId="77777777" w:rsidR="00AF61D3" w:rsidRDefault="00AF61D3" w:rsidP="00AF61D3">
      <w:pPr>
        <w:pStyle w:val="ListParagraph"/>
        <w:numPr>
          <w:ilvl w:val="1"/>
          <w:numId w:val="10"/>
        </w:numPr>
      </w:pPr>
      <w:r>
        <w:t>Les façades sont à recouvrir d’enduits traditionnels (enduits de parement hydrauliques: enduit brut de projection, enduit rustique écrasé, enduit gratté, enduit taloché-feutré).</w:t>
      </w:r>
    </w:p>
    <w:p w14:paraId="2E62233C" w14:textId="77777777" w:rsidR="00AF61D3" w:rsidRDefault="00AF61D3" w:rsidP="00AF61D3">
      <w:pPr>
        <w:pStyle w:val="ListParagraph"/>
        <w:numPr>
          <w:ilvl w:val="1"/>
          <w:numId w:val="10"/>
        </w:numPr>
      </w:pPr>
      <w:r>
        <w:t>La couleur des façades sera choisie dans un nuancier (ou similaire) disponible auprès du service technique de l’administration communale et dont les références NCS sont annexées au présent règlement (annexe 4), avant l’introduction de la demande de permis de bâtir. Concernant les encadrements, modénatures et socles, les teintes seront également à choisir dans le nuancier dont les références NCS sont annexées au présent règlement (annexe 5). A l’exception des encadrements de baies, des modénatures ou des socles, les façades en bichromie sont interdites.</w:t>
      </w:r>
    </w:p>
    <w:p w14:paraId="71BFEC10" w14:textId="3B884092" w:rsidR="00AF61D3" w:rsidRDefault="00AF61D3" w:rsidP="00AF61D3">
      <w:r>
        <w:t>Les caractéristiques du bâti traditionnel doivent également être pris en compte pour l’aménagement des abords des immeubles, parties ou éléments d’immeubles protégés (composition, choix des matériaux et des couleurs) afin de ne pas compromettre la qualité et le caractère originel typique des bâtiments ainsi que de l’espace</w:t>
      </w:r>
      <w:r w:rsidR="00DB7D57">
        <w:t>-rue.</w:t>
      </w:r>
    </w:p>
    <w:p w14:paraId="7409B3EC" w14:textId="77777777" w:rsidR="001B27E9" w:rsidRPr="001B27E9" w:rsidRDefault="001B27E9" w:rsidP="001B27E9">
      <w:pPr>
        <w:rPr>
          <w:u w:val="single"/>
        </w:rPr>
      </w:pPr>
      <w:r w:rsidRPr="001B27E9">
        <w:rPr>
          <w:u w:val="single"/>
        </w:rPr>
        <w:t>f) Servitudes touchant les immeubles non-inscrits à l’inventaire communal</w:t>
      </w:r>
    </w:p>
    <w:p w14:paraId="2E3644BF" w14:textId="7A0DA5B0" w:rsidR="001B27E9" w:rsidRDefault="001B27E9" w:rsidP="001B27E9">
      <w:r>
        <w:t>Tout projet localisé dans un tel secteur et portant soit sur une nouvelle construction soit sur des immeubles situés dans les secteurs protégés environnement construit mais non-inscrits à l’inventaire communal, doit tenir compte des caractéristiques du contexte bâti et environnemental, et s’y intégrer de la manière la plus opportune et la plus valorisante pour le quartier et le site. Les aspects à considérer sont notamment:</w:t>
      </w:r>
    </w:p>
    <w:p w14:paraId="6275815F" w14:textId="77777777" w:rsidR="001B27E9" w:rsidRDefault="001B27E9" w:rsidP="001B27E9">
      <w:pPr>
        <w:pStyle w:val="ListParagraph"/>
        <w:numPr>
          <w:ilvl w:val="0"/>
          <w:numId w:val="11"/>
        </w:numPr>
      </w:pPr>
      <w:r>
        <w:lastRenderedPageBreak/>
        <w:t>L’implantation des constructions et l’authenticité, la particularité et/ou la qualité de l’espace-rue.</w:t>
      </w:r>
    </w:p>
    <w:p w14:paraId="5CAB5C61" w14:textId="5E1587BF" w:rsidR="001B27E9" w:rsidRPr="007D461A" w:rsidRDefault="001B27E9" w:rsidP="000F1965">
      <w:pPr>
        <w:pStyle w:val="ListParagraph"/>
        <w:numPr>
          <w:ilvl w:val="0"/>
          <w:numId w:val="11"/>
        </w:numPr>
      </w:pPr>
      <w:r>
        <w:t>La typologie architecturale, incluant notamment le gabarit, les formes et ouvertures en toiture et en façade, les modénatures, les matériaux et teintes.</w:t>
      </w:r>
    </w:p>
    <w:sectPr w:rsidR="001B27E9" w:rsidRPr="007D46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87D56"/>
    <w:multiLevelType w:val="hybridMultilevel"/>
    <w:tmpl w:val="3BA23F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ED1740"/>
    <w:multiLevelType w:val="hybridMultilevel"/>
    <w:tmpl w:val="6F20AA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EA730B"/>
    <w:multiLevelType w:val="hybridMultilevel"/>
    <w:tmpl w:val="96E2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62466"/>
    <w:multiLevelType w:val="hybridMultilevel"/>
    <w:tmpl w:val="178EE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C20F81"/>
    <w:multiLevelType w:val="hybridMultilevel"/>
    <w:tmpl w:val="D6D8DD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8337504"/>
    <w:multiLevelType w:val="hybridMultilevel"/>
    <w:tmpl w:val="FD3A20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BC01068"/>
    <w:multiLevelType w:val="hybridMultilevel"/>
    <w:tmpl w:val="27D8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5093C"/>
    <w:multiLevelType w:val="hybridMultilevel"/>
    <w:tmpl w:val="C096E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6844D4C"/>
    <w:multiLevelType w:val="hybridMultilevel"/>
    <w:tmpl w:val="28CA3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E24A34"/>
    <w:multiLevelType w:val="hybridMultilevel"/>
    <w:tmpl w:val="C2A250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14B2010"/>
    <w:multiLevelType w:val="hybridMultilevel"/>
    <w:tmpl w:val="7440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68861878">
    <w:abstractNumId w:val="7"/>
  </w:num>
  <w:num w:numId="2" w16cid:durableId="1117455727">
    <w:abstractNumId w:val="8"/>
  </w:num>
  <w:num w:numId="3" w16cid:durableId="1610313360">
    <w:abstractNumId w:val="10"/>
  </w:num>
  <w:num w:numId="4" w16cid:durableId="1080445690">
    <w:abstractNumId w:val="2"/>
  </w:num>
  <w:num w:numId="5" w16cid:durableId="405811497">
    <w:abstractNumId w:val="3"/>
  </w:num>
  <w:num w:numId="6" w16cid:durableId="100220727">
    <w:abstractNumId w:val="6"/>
  </w:num>
  <w:num w:numId="7" w16cid:durableId="936139397">
    <w:abstractNumId w:val="4"/>
  </w:num>
  <w:num w:numId="8" w16cid:durableId="94445552">
    <w:abstractNumId w:val="9"/>
  </w:num>
  <w:num w:numId="9" w16cid:durableId="1982997325">
    <w:abstractNumId w:val="1"/>
  </w:num>
  <w:num w:numId="10" w16cid:durableId="302007166">
    <w:abstractNumId w:val="0"/>
  </w:num>
  <w:num w:numId="11" w16cid:durableId="12165088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125"/>
    <w:rsid w:val="0002112C"/>
    <w:rsid w:val="000529E4"/>
    <w:rsid w:val="000D5EB2"/>
    <w:rsid w:val="001B27E9"/>
    <w:rsid w:val="0038550D"/>
    <w:rsid w:val="00387019"/>
    <w:rsid w:val="0039622D"/>
    <w:rsid w:val="00397462"/>
    <w:rsid w:val="003A681A"/>
    <w:rsid w:val="0042081B"/>
    <w:rsid w:val="00586663"/>
    <w:rsid w:val="005D1D9B"/>
    <w:rsid w:val="006605E2"/>
    <w:rsid w:val="006653E2"/>
    <w:rsid w:val="006B0ABB"/>
    <w:rsid w:val="006D745F"/>
    <w:rsid w:val="007008AF"/>
    <w:rsid w:val="00732511"/>
    <w:rsid w:val="007B41C9"/>
    <w:rsid w:val="007B5125"/>
    <w:rsid w:val="007D461A"/>
    <w:rsid w:val="008A46DB"/>
    <w:rsid w:val="009D6555"/>
    <w:rsid w:val="00A610F9"/>
    <w:rsid w:val="00AD5B20"/>
    <w:rsid w:val="00AF61D3"/>
    <w:rsid w:val="00B11E93"/>
    <w:rsid w:val="00B208F3"/>
    <w:rsid w:val="00B23406"/>
    <w:rsid w:val="00BC0B6C"/>
    <w:rsid w:val="00C10C63"/>
    <w:rsid w:val="00C85115"/>
    <w:rsid w:val="00CB2FE8"/>
    <w:rsid w:val="00CF3132"/>
    <w:rsid w:val="00D35FE3"/>
    <w:rsid w:val="00D94521"/>
    <w:rsid w:val="00DB7D57"/>
    <w:rsid w:val="00EA7952"/>
    <w:rsid w:val="00EB23F4"/>
    <w:rsid w:val="00F163B8"/>
    <w:rsid w:val="00F77AC1"/>
    <w:rsid w:val="00FB7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252C"/>
  <w15:chartTrackingRefBased/>
  <w15:docId w15:val="{8C07B1AE-FFF1-4BB3-A485-99CD8C89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ABB"/>
    <w:pPr>
      <w:spacing w:after="0" w:line="360" w:lineRule="auto"/>
      <w:jc w:val="both"/>
    </w:pPr>
    <w:rPr>
      <w:rFonts w:ascii="Arial" w:hAnsi="Arial"/>
      <w:lang w:val="fr-LU"/>
    </w:rPr>
  </w:style>
  <w:style w:type="paragraph" w:styleId="Heading1">
    <w:name w:val="heading 1"/>
    <w:basedOn w:val="Normal"/>
    <w:next w:val="Normal"/>
    <w:link w:val="Heading1Char"/>
    <w:uiPriority w:val="9"/>
    <w:qFormat/>
    <w:rsid w:val="00CF3132"/>
    <w:pPr>
      <w:keepNext/>
      <w:keepLines/>
      <w:spacing w:before="240"/>
      <w:outlineLvl w:val="0"/>
    </w:pPr>
    <w:rPr>
      <w:rFonts w:eastAsiaTheme="majorEastAsia" w:cstheme="majorBidi"/>
      <w:b/>
      <w:sz w:val="28"/>
      <w:szCs w:val="32"/>
      <w:u w:val="single"/>
    </w:rPr>
  </w:style>
  <w:style w:type="paragraph" w:styleId="Heading2">
    <w:name w:val="heading 2"/>
    <w:basedOn w:val="Normal"/>
    <w:next w:val="Normal"/>
    <w:link w:val="Heading2Char"/>
    <w:uiPriority w:val="9"/>
    <w:qFormat/>
    <w:rsid w:val="00CF3132"/>
    <w:pPr>
      <w:keepNext/>
      <w:keepLines/>
      <w:spacing w:before="40"/>
      <w:ind w:left="720"/>
      <w:outlineLvl w:val="1"/>
    </w:pPr>
    <w:rPr>
      <w:rFonts w:eastAsiaTheme="majorEastAsia" w:cstheme="majorBidi"/>
      <w:b/>
      <w:sz w:val="24"/>
      <w:szCs w:val="26"/>
      <w:u w:val="single"/>
    </w:rPr>
  </w:style>
  <w:style w:type="paragraph" w:styleId="Heading3">
    <w:name w:val="heading 3"/>
    <w:basedOn w:val="Normal"/>
    <w:next w:val="Normal"/>
    <w:link w:val="Heading3Char"/>
    <w:uiPriority w:val="9"/>
    <w:qFormat/>
    <w:rsid w:val="00CF3132"/>
    <w:pPr>
      <w:keepNext/>
      <w:keepLines/>
      <w:spacing w:before="40"/>
      <w:ind w:left="720"/>
      <w:outlineLvl w:val="2"/>
    </w:pPr>
    <w:rPr>
      <w:rFonts w:eastAsiaTheme="majorEastAsia" w:cstheme="majorBidi"/>
      <w:b/>
      <w:sz w:val="24"/>
      <w:szCs w:val="24"/>
      <w:u w:val="single"/>
    </w:rPr>
  </w:style>
  <w:style w:type="paragraph" w:styleId="Heading4">
    <w:name w:val="heading 4"/>
    <w:basedOn w:val="Normal"/>
    <w:next w:val="Normal"/>
    <w:link w:val="Heading4Char"/>
    <w:uiPriority w:val="9"/>
    <w:qFormat/>
    <w:rsid w:val="006B0ABB"/>
    <w:pPr>
      <w:keepNext/>
      <w:keepLines/>
      <w:spacing w:before="40"/>
      <w:ind w:left="720"/>
      <w:outlineLvl w:val="3"/>
    </w:pPr>
    <w:rPr>
      <w:rFonts w:eastAsiaTheme="majorEastAsia" w:cstheme="majorBidi"/>
      <w:b/>
      <w:i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CF3132"/>
    <w:pPr>
      <w:ind w:left="720"/>
    </w:pPr>
  </w:style>
  <w:style w:type="character" w:customStyle="1" w:styleId="Heading1Char">
    <w:name w:val="Heading 1 Char"/>
    <w:basedOn w:val="DefaultParagraphFont"/>
    <w:link w:val="Heading1"/>
    <w:uiPriority w:val="9"/>
    <w:rsid w:val="00CF3132"/>
    <w:rPr>
      <w:rFonts w:ascii="Arial" w:eastAsiaTheme="majorEastAsia" w:hAnsi="Arial" w:cstheme="majorBidi"/>
      <w:b/>
      <w:sz w:val="28"/>
      <w:szCs w:val="32"/>
      <w:u w:val="single"/>
    </w:rPr>
  </w:style>
  <w:style w:type="character" w:customStyle="1" w:styleId="Heading2Char">
    <w:name w:val="Heading 2 Char"/>
    <w:basedOn w:val="DefaultParagraphFont"/>
    <w:link w:val="Heading2"/>
    <w:uiPriority w:val="9"/>
    <w:rsid w:val="00CF3132"/>
    <w:rPr>
      <w:rFonts w:ascii="Arial" w:eastAsiaTheme="majorEastAsia" w:hAnsi="Arial" w:cstheme="majorBidi"/>
      <w:b/>
      <w:sz w:val="24"/>
      <w:szCs w:val="26"/>
      <w:u w:val="single"/>
    </w:rPr>
  </w:style>
  <w:style w:type="paragraph" w:customStyle="1" w:styleId="NormalTableau">
    <w:name w:val="Normal Tableau"/>
    <w:basedOn w:val="Normal"/>
    <w:qFormat/>
    <w:rsid w:val="006B0ABB"/>
    <w:pPr>
      <w:suppressAutoHyphens/>
      <w:spacing w:line="240" w:lineRule="auto"/>
    </w:pPr>
    <w:rPr>
      <w:noProof/>
      <w:sz w:val="16"/>
      <w:szCs w:val="16"/>
    </w:rPr>
  </w:style>
  <w:style w:type="character" w:customStyle="1" w:styleId="Heading3Char">
    <w:name w:val="Heading 3 Char"/>
    <w:basedOn w:val="DefaultParagraphFont"/>
    <w:link w:val="Heading3"/>
    <w:uiPriority w:val="9"/>
    <w:rsid w:val="00CF3132"/>
    <w:rPr>
      <w:rFonts w:ascii="Arial" w:eastAsiaTheme="majorEastAsia" w:hAnsi="Arial" w:cstheme="majorBidi"/>
      <w:b/>
      <w:sz w:val="24"/>
      <w:szCs w:val="24"/>
      <w:u w:val="single"/>
    </w:rPr>
  </w:style>
  <w:style w:type="character" w:customStyle="1" w:styleId="Heading4Char">
    <w:name w:val="Heading 4 Char"/>
    <w:basedOn w:val="DefaultParagraphFont"/>
    <w:link w:val="Heading4"/>
    <w:uiPriority w:val="9"/>
    <w:rsid w:val="006B0ABB"/>
    <w:rPr>
      <w:rFonts w:ascii="Arial" w:eastAsiaTheme="majorEastAsia" w:hAnsi="Arial" w:cstheme="majorBidi"/>
      <w:b/>
      <w:iCs/>
      <w:sz w:val="24"/>
      <w:u w:val="single"/>
      <w:lang w:val="fr-LU"/>
    </w:rPr>
  </w:style>
  <w:style w:type="character" w:styleId="Hyperlink">
    <w:name w:val="Hyperlink"/>
    <w:basedOn w:val="DefaultParagraphFont"/>
    <w:uiPriority w:val="99"/>
    <w:semiHidden/>
    <w:rsid w:val="009D6555"/>
    <w:rPr>
      <w:color w:val="0563C1" w:themeColor="hyperlink"/>
      <w:u w:val="single"/>
    </w:rPr>
  </w:style>
  <w:style w:type="paragraph" w:styleId="Title">
    <w:name w:val="Title"/>
    <w:basedOn w:val="Normal"/>
    <w:next w:val="Normal"/>
    <w:link w:val="TitleChar"/>
    <w:autoRedefine/>
    <w:uiPriority w:val="10"/>
    <w:qFormat/>
    <w:rsid w:val="007D461A"/>
    <w:pPr>
      <w:keepNext/>
      <w:pageBreakBefore/>
      <w:suppressAutoHyphens/>
      <w:spacing w:before="360" w:after="280" w:line="240" w:lineRule="auto"/>
      <w:ind w:left="567"/>
    </w:pPr>
    <w:rPr>
      <w:caps/>
      <w:noProof/>
      <w:sz w:val="26"/>
    </w:rPr>
  </w:style>
  <w:style w:type="character" w:customStyle="1" w:styleId="TitleChar">
    <w:name w:val="Title Char"/>
    <w:basedOn w:val="DefaultParagraphFont"/>
    <w:link w:val="Title"/>
    <w:uiPriority w:val="10"/>
    <w:rsid w:val="007D461A"/>
    <w:rPr>
      <w:rFonts w:ascii="Arial" w:hAnsi="Arial"/>
      <w:caps/>
      <w:noProof/>
      <w:sz w:val="26"/>
      <w:lang w:val="fr-L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0944">
      <w:bodyDiv w:val="1"/>
      <w:marLeft w:val="0"/>
      <w:marRight w:val="0"/>
      <w:marTop w:val="0"/>
      <w:marBottom w:val="0"/>
      <w:divBdr>
        <w:top w:val="none" w:sz="0" w:space="0" w:color="auto"/>
        <w:left w:val="none" w:sz="0" w:space="0" w:color="auto"/>
        <w:bottom w:val="none" w:sz="0" w:space="0" w:color="auto"/>
        <w:right w:val="none" w:sz="0" w:space="0" w:color="auto"/>
      </w:divBdr>
    </w:div>
    <w:div w:id="971598103">
      <w:bodyDiv w:val="1"/>
      <w:marLeft w:val="0"/>
      <w:marRight w:val="0"/>
      <w:marTop w:val="0"/>
      <w:marBottom w:val="0"/>
      <w:divBdr>
        <w:top w:val="none" w:sz="0" w:space="0" w:color="auto"/>
        <w:left w:val="none" w:sz="0" w:space="0" w:color="auto"/>
        <w:bottom w:val="none" w:sz="0" w:space="0" w:color="auto"/>
        <w:right w:val="none" w:sz="0" w:space="0" w:color="auto"/>
      </w:divBdr>
    </w:div>
    <w:div w:id="1833329425">
      <w:bodyDiv w:val="1"/>
      <w:marLeft w:val="0"/>
      <w:marRight w:val="0"/>
      <w:marTop w:val="0"/>
      <w:marBottom w:val="0"/>
      <w:divBdr>
        <w:top w:val="none" w:sz="0" w:space="0" w:color="auto"/>
        <w:left w:val="none" w:sz="0" w:space="0" w:color="auto"/>
        <w:bottom w:val="none" w:sz="0" w:space="0" w:color="auto"/>
        <w:right w:val="none" w:sz="0" w:space="0" w:color="auto"/>
      </w:divBdr>
    </w:div>
    <w:div w:id="1835341865">
      <w:bodyDiv w:val="1"/>
      <w:marLeft w:val="0"/>
      <w:marRight w:val="0"/>
      <w:marTop w:val="0"/>
      <w:marBottom w:val="0"/>
      <w:divBdr>
        <w:top w:val="none" w:sz="0" w:space="0" w:color="auto"/>
        <w:left w:val="none" w:sz="0" w:space="0" w:color="auto"/>
        <w:bottom w:val="none" w:sz="0" w:space="0" w:color="auto"/>
        <w:right w:val="none" w:sz="0" w:space="0" w:color="auto"/>
      </w:divBdr>
    </w:div>
    <w:div w:id="204474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710</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Graas</dc:creator>
  <cp:keywords/>
  <dc:description/>
  <cp:lastModifiedBy>Kevin Schutz</cp:lastModifiedBy>
  <cp:revision>27</cp:revision>
  <dcterms:created xsi:type="dcterms:W3CDTF">2019-11-19T06:33:00Z</dcterms:created>
  <dcterms:modified xsi:type="dcterms:W3CDTF">2025-04-01T07:04:00Z</dcterms:modified>
</cp:coreProperties>
</file>