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61A56" w14:textId="1DFDAE7E" w:rsidR="00FB3F13" w:rsidRPr="00FB3F13" w:rsidRDefault="00FB3F13" w:rsidP="00FB3F13">
      <w:pPr>
        <w:pStyle w:val="Heading1"/>
        <w:rPr>
          <w:lang w:val="fr-FR"/>
        </w:rPr>
      </w:pPr>
      <w:r w:rsidRPr="00FB3F13">
        <w:rPr>
          <w:lang w:val="fr-FR"/>
        </w:rPr>
        <w:t>Art.</w:t>
      </w:r>
      <w:r>
        <w:rPr>
          <w:lang w:val="fr-FR"/>
        </w:rPr>
        <w:t xml:space="preserve"> </w:t>
      </w:r>
      <w:r w:rsidRPr="00FB3F13">
        <w:rPr>
          <w:lang w:val="fr-FR"/>
        </w:rPr>
        <w:t>20 Zone de parc public [PARC]</w:t>
      </w:r>
    </w:p>
    <w:p w14:paraId="549D15D4" w14:textId="77777777" w:rsidR="00FB3F13" w:rsidRPr="00FB3F13" w:rsidRDefault="00FB3F13" w:rsidP="00FB3F13">
      <w:pPr>
        <w:rPr>
          <w:lang w:val="fr-FR"/>
        </w:rPr>
      </w:pPr>
      <w:r w:rsidRPr="00FB3F13">
        <w:rPr>
          <w:lang w:val="fr-FR"/>
        </w:rPr>
        <w:t>Les zones de parc public, constituant la zone verte au sens de la loi sur la protection de la nature et des ressources naturelles, comprennent des îlots de verdure, des parcs publics et des surfaces de jeux, de loisir, de détente et de repos.</w:t>
      </w:r>
    </w:p>
    <w:p w14:paraId="295B55E3" w14:textId="77777777" w:rsidR="00FB3F13" w:rsidRPr="00FB3F13" w:rsidRDefault="00FB3F13" w:rsidP="00FB3F13">
      <w:pPr>
        <w:rPr>
          <w:lang w:val="fr-FR"/>
        </w:rPr>
      </w:pPr>
      <w:r w:rsidRPr="00FB3F13">
        <w:rPr>
          <w:lang w:val="fr-FR"/>
        </w:rPr>
        <w:t>Dans ces zones des aménagements, équipements et constructions en relation avec la zone sont admis.</w:t>
      </w:r>
    </w:p>
    <w:p w14:paraId="2FFAA036" w14:textId="77777777" w:rsidR="00FB3F13" w:rsidRPr="00FB3F13" w:rsidRDefault="00FB3F13" w:rsidP="00FB3F13">
      <w:pPr>
        <w:rPr>
          <w:lang w:val="fr-FR"/>
        </w:rPr>
      </w:pPr>
      <w:r w:rsidRPr="00FB3F13">
        <w:rPr>
          <w:lang w:val="fr-FR"/>
        </w:rPr>
        <w:t>Y peuvent encore être adm</w:t>
      </w:r>
      <w:bookmarkStart w:id="0" w:name="_GoBack"/>
      <w:bookmarkEnd w:id="0"/>
      <w:r w:rsidRPr="00FB3F13">
        <w:rPr>
          <w:lang w:val="fr-FR"/>
        </w:rPr>
        <w:t>is des aménagements et des constructions d’intérêt général ou d’utilité publique ainsi que des infrastructures techniques pour la gestion des eaux superficielles, à réaliser par la Ville, l’Etat ou des gestionnaires de réseaux, à condition que leur implantation se limite au strict minimum, qu’un soin particulier soit apporté à leur intégration dans le site et sans préjudice de l’autorisation du ministre ayant la protection de la nature et des ressources naturelles dans ses attributions.</w:t>
      </w:r>
    </w:p>
    <w:p w14:paraId="38FDEE07" w14:textId="3CE0FAAE" w:rsidR="006605E2" w:rsidRPr="006605E2" w:rsidRDefault="00FB3F13" w:rsidP="00FB3F13">
      <w:pPr>
        <w:rPr>
          <w:lang w:val="fr-FR"/>
        </w:rPr>
      </w:pPr>
      <w:r w:rsidRPr="00FB3F13">
        <w:rPr>
          <w:lang w:val="fr-FR"/>
        </w:rPr>
        <w:t>Les vestiges de la forteresse et les sites rocheux les entourant sont à conserver dans leur aspect. Dans leur voisinage ou leur champ de visibilité direct, des constructions ou transformations qui pourraient porter préjudice au site peuvent être interdites.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3F1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2021-03-12T15:16:00Z</dcterms:modified>
</cp:coreProperties>
</file>