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B8C73" w14:textId="77777777" w:rsidR="008B678D" w:rsidRPr="008B678D" w:rsidRDefault="008B678D" w:rsidP="008B678D">
      <w:pPr>
        <w:pStyle w:val="Heading1"/>
        <w:rPr>
          <w:lang w:val="fr-FR"/>
        </w:rPr>
      </w:pPr>
      <w:r w:rsidRPr="008B678D">
        <w:rPr>
          <w:lang w:val="fr-FR"/>
        </w:rPr>
        <w:t>E. Les PAP QE du Plateau de Kirchberg - [KIR]</w:t>
      </w:r>
    </w:p>
    <w:p w14:paraId="78E80BFD" w14:textId="77777777" w:rsidR="008B678D" w:rsidRPr="008B678D" w:rsidRDefault="008B678D" w:rsidP="008B678D">
      <w:pPr>
        <w:pStyle w:val="Heading2"/>
        <w:rPr>
          <w:lang w:val="fr-FR"/>
        </w:rPr>
      </w:pPr>
      <w:r w:rsidRPr="008B678D">
        <w:rPr>
          <w:lang w:val="fr-FR"/>
        </w:rPr>
        <w:t>E.1 Les définitions</w:t>
      </w:r>
    </w:p>
    <w:p w14:paraId="7920DE8B" w14:textId="1B4EE3D8" w:rsidR="008B678D" w:rsidRPr="008B678D" w:rsidRDefault="008B678D" w:rsidP="008B678D">
      <w:pPr>
        <w:rPr>
          <w:lang w:val="fr-FR"/>
        </w:rPr>
      </w:pPr>
      <w:r w:rsidRPr="008B678D">
        <w:rPr>
          <w:lang w:val="fr-FR"/>
        </w:rPr>
        <w:t>Le mode d’utilisation du sol de la zone spéciale mixte urbaine centrale européenne et nationale [MIX-</w:t>
      </w:r>
      <w:proofErr w:type="spellStart"/>
      <w:r w:rsidRPr="008B678D">
        <w:rPr>
          <w:lang w:val="fr-FR"/>
        </w:rPr>
        <w:t>cen</w:t>
      </w:r>
      <w:proofErr w:type="spellEnd"/>
      <w:r w:rsidRPr="008B678D">
        <w:rPr>
          <w:lang w:val="fr-FR"/>
        </w:rPr>
        <w:t>], de la zone mixte urbaine centrale [</w:t>
      </w:r>
      <w:proofErr w:type="spellStart"/>
      <w:r w:rsidRPr="008B678D">
        <w:rPr>
          <w:lang w:val="fr-FR"/>
        </w:rPr>
        <w:t>MIX-c</w:t>
      </w:r>
      <w:proofErr w:type="spellEnd"/>
      <w:r w:rsidRPr="008B678D">
        <w:rPr>
          <w:lang w:val="fr-FR"/>
        </w:rPr>
        <w:t xml:space="preserve">], de la zone spéciale Foire [SPEC-F], de la zone spéciale Télécommunication [SPEC-T], de la zone d’habitation 2 [HAB-2] et de la zone de bâtiments et d’équipements publics [BEP], tel que défini dans la partie écrite du plan d’aménagement général (PAG), est précisé ci-dessous pour le PAP QE </w:t>
      </w:r>
      <w:r>
        <w:rPr>
          <w:lang w:val="fr-FR"/>
        </w:rPr>
        <w:t>« </w:t>
      </w:r>
      <w:r w:rsidRPr="008B678D">
        <w:rPr>
          <w:lang w:val="fr-FR"/>
        </w:rPr>
        <w:t>Kirchberg Européen</w:t>
      </w:r>
      <w:r>
        <w:rPr>
          <w:lang w:val="fr-FR"/>
        </w:rPr>
        <w:t> »</w:t>
      </w:r>
      <w:r w:rsidRPr="008B678D">
        <w:rPr>
          <w:lang w:val="fr-FR"/>
        </w:rPr>
        <w:t xml:space="preserve"> - [KIR-eu], </w:t>
      </w:r>
      <w:r>
        <w:rPr>
          <w:lang w:val="fr-FR"/>
        </w:rPr>
        <w:t>« </w:t>
      </w:r>
      <w:r w:rsidRPr="008B678D">
        <w:rPr>
          <w:lang w:val="fr-FR"/>
        </w:rPr>
        <w:t>Kirchberg Parc</w:t>
      </w:r>
      <w:r>
        <w:rPr>
          <w:lang w:val="fr-FR"/>
        </w:rPr>
        <w:t> »</w:t>
      </w:r>
      <w:r w:rsidRPr="008B678D">
        <w:rPr>
          <w:lang w:val="fr-FR"/>
        </w:rPr>
        <w:t xml:space="preserve"> - [KIR-</w:t>
      </w:r>
      <w:proofErr w:type="spellStart"/>
      <w:r w:rsidRPr="008B678D">
        <w:rPr>
          <w:lang w:val="fr-FR"/>
        </w:rPr>
        <w:t>pa</w:t>
      </w:r>
      <w:proofErr w:type="spellEnd"/>
      <w:r w:rsidRPr="008B678D">
        <w:rPr>
          <w:lang w:val="fr-FR"/>
        </w:rPr>
        <w:t xml:space="preserve">], </w:t>
      </w:r>
      <w:r>
        <w:rPr>
          <w:lang w:val="fr-FR"/>
        </w:rPr>
        <w:t>« </w:t>
      </w:r>
      <w:r w:rsidRPr="008B678D">
        <w:rPr>
          <w:lang w:val="fr-FR"/>
        </w:rPr>
        <w:t>Kirchberg Grünewald Nord</w:t>
      </w:r>
      <w:r>
        <w:rPr>
          <w:lang w:val="fr-FR"/>
        </w:rPr>
        <w:t> »</w:t>
      </w:r>
      <w:r w:rsidRPr="008B678D">
        <w:rPr>
          <w:lang w:val="fr-FR"/>
        </w:rPr>
        <w:t xml:space="preserve"> - [KIR-</w:t>
      </w:r>
      <w:proofErr w:type="spellStart"/>
      <w:r w:rsidRPr="008B678D">
        <w:rPr>
          <w:lang w:val="fr-FR"/>
        </w:rPr>
        <w:t>gn</w:t>
      </w:r>
      <w:proofErr w:type="spellEnd"/>
      <w:r w:rsidRPr="008B678D">
        <w:rPr>
          <w:lang w:val="fr-FR"/>
        </w:rPr>
        <w:t xml:space="preserve">] et </w:t>
      </w:r>
      <w:r>
        <w:rPr>
          <w:lang w:val="fr-FR"/>
        </w:rPr>
        <w:t>« </w:t>
      </w:r>
      <w:r w:rsidRPr="008B678D">
        <w:rPr>
          <w:lang w:val="fr-FR"/>
        </w:rPr>
        <w:t>Kirchberg Grünewald Sud</w:t>
      </w:r>
      <w:r>
        <w:rPr>
          <w:lang w:val="fr-FR"/>
        </w:rPr>
        <w:t> » - [KIR-</w:t>
      </w:r>
      <w:proofErr w:type="spellStart"/>
      <w:r>
        <w:rPr>
          <w:lang w:val="fr-FR"/>
        </w:rPr>
        <w:t>gs</w:t>
      </w:r>
      <w:proofErr w:type="spellEnd"/>
      <w:r>
        <w:rPr>
          <w:lang w:val="fr-FR"/>
        </w:rPr>
        <w:t>].</w:t>
      </w:r>
    </w:p>
    <w:p w14:paraId="7D068197" w14:textId="77777777" w:rsidR="008B678D" w:rsidRPr="008B678D" w:rsidRDefault="008B678D" w:rsidP="008B678D">
      <w:pPr>
        <w:rPr>
          <w:lang w:val="fr-FR"/>
        </w:rPr>
      </w:pPr>
      <w:r w:rsidRPr="008B678D">
        <w:rPr>
          <w:lang w:val="fr-FR"/>
        </w:rPr>
        <w:t>Les différents quartiers du Plateau de Kirchberg sont destinés à accueillir les administrations et services de l’Union européenne, des services administratifs et professionnels, des commerces, des établissements à caractère artisanal, des activités de loisirs, des hôtels, des restaurants et des débits de boissons, des équipements de service public et privé, des activités de récréation, de l’habitation et des espaces libres correspondant à l’ensemble de ces fonctions.</w:t>
      </w:r>
    </w:p>
    <w:p w14:paraId="7DA66ADF" w14:textId="3AD36D17" w:rsidR="008B678D" w:rsidRPr="008B678D" w:rsidRDefault="008B678D" w:rsidP="008B678D">
      <w:pPr>
        <w:rPr>
          <w:lang w:val="fr-FR"/>
        </w:rPr>
      </w:pPr>
      <w:r w:rsidRPr="008B678D">
        <w:rPr>
          <w:lang w:val="fr-FR"/>
        </w:rPr>
        <w:t xml:space="preserve">Les PAP QE du Plateau de Kirchberg, dénommées par la </w:t>
      </w:r>
      <w:r>
        <w:rPr>
          <w:lang w:val="fr-FR"/>
        </w:rPr>
        <w:t>suite [KIR], sont subdivisés en</w:t>
      </w:r>
      <w:r w:rsidRPr="008B678D">
        <w:rPr>
          <w:lang w:val="fr-FR"/>
        </w:rPr>
        <w:t>:</w:t>
      </w:r>
    </w:p>
    <w:p w14:paraId="745EF84D" w14:textId="566CB701" w:rsidR="008B678D" w:rsidRPr="008B678D" w:rsidRDefault="008B678D" w:rsidP="008B678D">
      <w:pPr>
        <w:pStyle w:val="ListParagraph"/>
        <w:numPr>
          <w:ilvl w:val="0"/>
          <w:numId w:val="8"/>
        </w:numPr>
        <w:rPr>
          <w:lang w:val="fr-FR"/>
        </w:rPr>
      </w:pPr>
      <w:r w:rsidRPr="008B678D">
        <w:rPr>
          <w:lang w:val="fr-FR"/>
        </w:rPr>
        <w:t xml:space="preserve">Le PAP QE </w:t>
      </w:r>
      <w:r>
        <w:rPr>
          <w:lang w:val="fr-FR"/>
        </w:rPr>
        <w:t>« </w:t>
      </w:r>
      <w:r w:rsidRPr="008B678D">
        <w:rPr>
          <w:lang w:val="fr-FR"/>
        </w:rPr>
        <w:t>Kirchberg Européen</w:t>
      </w:r>
      <w:r>
        <w:rPr>
          <w:lang w:val="fr-FR"/>
        </w:rPr>
        <w:t> »</w:t>
      </w:r>
      <w:r w:rsidRPr="008B678D">
        <w:rPr>
          <w:lang w:val="fr-FR"/>
        </w:rPr>
        <w:t xml:space="preserve"> - [KIR-eu]</w:t>
      </w:r>
    </w:p>
    <w:p w14:paraId="7A689595" w14:textId="2BDA2197" w:rsidR="008B678D" w:rsidRPr="008B678D" w:rsidRDefault="008B678D" w:rsidP="008B678D">
      <w:pPr>
        <w:pStyle w:val="ListParagraph"/>
        <w:numPr>
          <w:ilvl w:val="0"/>
          <w:numId w:val="8"/>
        </w:numPr>
        <w:rPr>
          <w:lang w:val="fr-FR"/>
        </w:rPr>
      </w:pPr>
      <w:r w:rsidRPr="008B678D">
        <w:rPr>
          <w:lang w:val="fr-FR"/>
        </w:rPr>
        <w:t xml:space="preserve">Le PAP QE </w:t>
      </w:r>
      <w:r>
        <w:rPr>
          <w:lang w:val="fr-FR"/>
        </w:rPr>
        <w:t>« </w:t>
      </w:r>
      <w:r w:rsidRPr="008B678D">
        <w:rPr>
          <w:lang w:val="fr-FR"/>
        </w:rPr>
        <w:t>Kirchberg Parc</w:t>
      </w:r>
      <w:r>
        <w:rPr>
          <w:lang w:val="fr-FR"/>
        </w:rPr>
        <w:t> »</w:t>
      </w:r>
      <w:r w:rsidRPr="008B678D">
        <w:rPr>
          <w:lang w:val="fr-FR"/>
        </w:rPr>
        <w:t xml:space="preserve"> - [KIR-</w:t>
      </w:r>
      <w:proofErr w:type="spellStart"/>
      <w:r w:rsidRPr="008B678D">
        <w:rPr>
          <w:lang w:val="fr-FR"/>
        </w:rPr>
        <w:t>pa</w:t>
      </w:r>
      <w:proofErr w:type="spellEnd"/>
      <w:r w:rsidRPr="008B678D">
        <w:rPr>
          <w:lang w:val="fr-FR"/>
        </w:rPr>
        <w:t>]</w:t>
      </w:r>
    </w:p>
    <w:p w14:paraId="193F7FD3" w14:textId="4ED433D8" w:rsidR="008B678D" w:rsidRPr="008B678D" w:rsidRDefault="008B678D" w:rsidP="008B678D">
      <w:pPr>
        <w:pStyle w:val="ListParagraph"/>
        <w:numPr>
          <w:ilvl w:val="0"/>
          <w:numId w:val="8"/>
        </w:numPr>
        <w:rPr>
          <w:lang w:val="fr-FR"/>
        </w:rPr>
      </w:pPr>
      <w:r w:rsidRPr="008B678D">
        <w:rPr>
          <w:lang w:val="fr-FR"/>
        </w:rPr>
        <w:t xml:space="preserve">Le PAP QE </w:t>
      </w:r>
      <w:r>
        <w:rPr>
          <w:lang w:val="fr-FR"/>
        </w:rPr>
        <w:t>« </w:t>
      </w:r>
      <w:r w:rsidRPr="008B678D">
        <w:rPr>
          <w:lang w:val="fr-FR"/>
        </w:rPr>
        <w:t>Kirchberg Grünewald Nord</w:t>
      </w:r>
      <w:r>
        <w:rPr>
          <w:lang w:val="fr-FR"/>
        </w:rPr>
        <w:t> »</w:t>
      </w:r>
      <w:r w:rsidRPr="008B678D">
        <w:rPr>
          <w:lang w:val="fr-FR"/>
        </w:rPr>
        <w:t xml:space="preserve"> - [KIR-</w:t>
      </w:r>
      <w:proofErr w:type="spellStart"/>
      <w:r w:rsidRPr="008B678D">
        <w:rPr>
          <w:lang w:val="fr-FR"/>
        </w:rPr>
        <w:t>gn</w:t>
      </w:r>
      <w:proofErr w:type="spellEnd"/>
      <w:r w:rsidRPr="008B678D">
        <w:rPr>
          <w:lang w:val="fr-FR"/>
        </w:rPr>
        <w:t>]</w:t>
      </w:r>
    </w:p>
    <w:p w14:paraId="34177D85" w14:textId="20C6EA8B" w:rsidR="008B678D" w:rsidRPr="008B678D" w:rsidRDefault="008B678D" w:rsidP="008B678D">
      <w:pPr>
        <w:pStyle w:val="ListParagraph"/>
        <w:numPr>
          <w:ilvl w:val="0"/>
          <w:numId w:val="8"/>
        </w:numPr>
        <w:rPr>
          <w:lang w:val="fr-FR"/>
        </w:rPr>
      </w:pPr>
      <w:r>
        <w:rPr>
          <w:lang w:val="fr-FR"/>
        </w:rPr>
        <w:t>Le PAP QE « </w:t>
      </w:r>
      <w:r w:rsidRPr="008B678D">
        <w:rPr>
          <w:lang w:val="fr-FR"/>
        </w:rPr>
        <w:t>Kirchberg Grünewald Sud</w:t>
      </w:r>
      <w:r>
        <w:rPr>
          <w:lang w:val="fr-FR"/>
        </w:rPr>
        <w:t> »</w:t>
      </w:r>
      <w:r w:rsidRPr="008B678D">
        <w:rPr>
          <w:lang w:val="fr-FR"/>
        </w:rPr>
        <w:t xml:space="preserve"> - [KIR-</w:t>
      </w:r>
      <w:proofErr w:type="spellStart"/>
      <w:r w:rsidRPr="008B678D">
        <w:rPr>
          <w:lang w:val="fr-FR"/>
        </w:rPr>
        <w:t>gs</w:t>
      </w:r>
      <w:proofErr w:type="spellEnd"/>
      <w:r w:rsidRPr="008B678D">
        <w:rPr>
          <w:lang w:val="fr-FR"/>
        </w:rPr>
        <w:t>]</w:t>
      </w:r>
    </w:p>
    <w:p w14:paraId="0437362E" w14:textId="1E795A33" w:rsidR="008B678D" w:rsidRPr="008B678D" w:rsidRDefault="008B678D" w:rsidP="008B678D">
      <w:pPr>
        <w:rPr>
          <w:lang w:val="fr-FR"/>
        </w:rPr>
      </w:pPr>
      <w:r w:rsidRPr="008B678D">
        <w:rPr>
          <w:lang w:val="fr-FR"/>
        </w:rPr>
        <w:t>Les constructions existantes peuvent être rénovées et transformées à moins que des raiso</w:t>
      </w:r>
      <w:r>
        <w:rPr>
          <w:lang w:val="fr-FR"/>
        </w:rPr>
        <w:t>ns de sécurité ne s’y opposent.</w:t>
      </w:r>
    </w:p>
    <w:p w14:paraId="5526348A" w14:textId="3A6069ED" w:rsidR="008B678D" w:rsidRPr="008B678D" w:rsidRDefault="008B678D" w:rsidP="008B678D">
      <w:pPr>
        <w:pStyle w:val="Heading2"/>
        <w:rPr>
          <w:lang w:val="fr-FR"/>
        </w:rPr>
      </w:pPr>
      <w:r>
        <w:rPr>
          <w:lang w:val="fr-FR"/>
        </w:rPr>
        <w:t xml:space="preserve">E.3 Le PAP QE « Kirchberg </w:t>
      </w:r>
      <w:r w:rsidRPr="008B678D">
        <w:rPr>
          <w:lang w:val="fr-FR"/>
        </w:rPr>
        <w:t>Parc</w:t>
      </w:r>
      <w:r>
        <w:rPr>
          <w:lang w:val="fr-FR"/>
        </w:rPr>
        <w:t> »</w:t>
      </w:r>
      <w:r w:rsidRPr="008B678D">
        <w:rPr>
          <w:lang w:val="fr-FR"/>
        </w:rPr>
        <w:t xml:space="preserve"> - [KIR-</w:t>
      </w:r>
      <w:proofErr w:type="spellStart"/>
      <w:r w:rsidRPr="008B678D">
        <w:rPr>
          <w:lang w:val="fr-FR"/>
        </w:rPr>
        <w:t>pa</w:t>
      </w:r>
      <w:proofErr w:type="spellEnd"/>
      <w:r w:rsidRPr="008B678D">
        <w:rPr>
          <w:lang w:val="fr-FR"/>
        </w:rPr>
        <w:t>]</w:t>
      </w:r>
    </w:p>
    <w:p w14:paraId="35BA63F5" w14:textId="05886EB0" w:rsidR="008B678D" w:rsidRPr="008B678D" w:rsidRDefault="008B678D" w:rsidP="008B678D">
      <w:pPr>
        <w:rPr>
          <w:lang w:val="fr-FR"/>
        </w:rPr>
      </w:pPr>
      <w:r>
        <w:rPr>
          <w:lang w:val="fr-FR"/>
        </w:rPr>
        <w:t>Le présent PAP QE comprend</w:t>
      </w:r>
      <w:r w:rsidRPr="008B678D">
        <w:rPr>
          <w:lang w:val="fr-FR"/>
        </w:rPr>
        <w:t>:</w:t>
      </w:r>
    </w:p>
    <w:p w14:paraId="4A996EF7" w14:textId="40F95E07" w:rsidR="008B678D" w:rsidRPr="008B678D" w:rsidRDefault="008B678D" w:rsidP="008B678D">
      <w:pPr>
        <w:pStyle w:val="ListParagraph"/>
        <w:numPr>
          <w:ilvl w:val="0"/>
          <w:numId w:val="10"/>
        </w:numPr>
        <w:rPr>
          <w:lang w:val="fr-FR"/>
        </w:rPr>
      </w:pPr>
      <w:proofErr w:type="gramStart"/>
      <w:r w:rsidRPr="008B678D">
        <w:rPr>
          <w:lang w:val="fr-FR"/>
        </w:rPr>
        <w:t>la</w:t>
      </w:r>
      <w:proofErr w:type="gramEnd"/>
      <w:r w:rsidRPr="008B678D">
        <w:rPr>
          <w:lang w:val="fr-FR"/>
        </w:rPr>
        <w:t xml:space="preserve"> partie graphique (PG),</w:t>
      </w:r>
    </w:p>
    <w:p w14:paraId="7B42E613" w14:textId="6B69D941" w:rsidR="008B678D" w:rsidRPr="008B678D" w:rsidRDefault="008B678D" w:rsidP="008B678D">
      <w:pPr>
        <w:pStyle w:val="ListParagraph"/>
        <w:numPr>
          <w:ilvl w:val="0"/>
          <w:numId w:val="10"/>
        </w:numPr>
        <w:rPr>
          <w:lang w:val="fr-FR"/>
        </w:rPr>
      </w:pPr>
      <w:proofErr w:type="gramStart"/>
      <w:r w:rsidRPr="008B678D">
        <w:rPr>
          <w:lang w:val="fr-FR"/>
        </w:rPr>
        <w:t>la</w:t>
      </w:r>
      <w:proofErr w:type="gramEnd"/>
      <w:r w:rsidRPr="008B678D">
        <w:rPr>
          <w:lang w:val="fr-FR"/>
        </w:rPr>
        <w:t xml:space="preserve"> partie écrite (PE)</w:t>
      </w:r>
    </w:p>
    <w:p w14:paraId="508159C4" w14:textId="77777777" w:rsidR="008B678D" w:rsidRPr="008B678D" w:rsidRDefault="008B678D" w:rsidP="008B678D">
      <w:pPr>
        <w:pStyle w:val="Heading3"/>
        <w:rPr>
          <w:lang w:val="fr-FR"/>
        </w:rPr>
      </w:pPr>
      <w:r w:rsidRPr="008B678D">
        <w:rPr>
          <w:lang w:val="fr-FR"/>
        </w:rPr>
        <w:t>E.3.1 La destination</w:t>
      </w:r>
    </w:p>
    <w:p w14:paraId="0D5D9F94" w14:textId="7372CF59" w:rsidR="008B678D" w:rsidRPr="008B678D" w:rsidRDefault="008B678D" w:rsidP="008B678D">
      <w:pPr>
        <w:rPr>
          <w:lang w:val="fr-FR"/>
        </w:rPr>
      </w:pPr>
      <w:r w:rsidRPr="008B678D">
        <w:rPr>
          <w:lang w:val="fr-FR"/>
        </w:rPr>
        <w:t xml:space="preserve">Le PAP QE </w:t>
      </w:r>
      <w:r>
        <w:rPr>
          <w:lang w:val="fr-FR"/>
        </w:rPr>
        <w:t>« </w:t>
      </w:r>
      <w:r w:rsidRPr="008B678D">
        <w:rPr>
          <w:lang w:val="fr-FR"/>
        </w:rPr>
        <w:t>Kirchberg Parc</w:t>
      </w:r>
      <w:r>
        <w:rPr>
          <w:lang w:val="fr-FR"/>
        </w:rPr>
        <w:t> »</w:t>
      </w:r>
      <w:r w:rsidRPr="008B678D">
        <w:rPr>
          <w:lang w:val="fr-FR"/>
        </w:rPr>
        <w:t xml:space="preserve"> couvre les zones suivantes dans le PAG:</w:t>
      </w:r>
    </w:p>
    <w:p w14:paraId="5BBFAF68" w14:textId="115341DF" w:rsidR="008B678D" w:rsidRPr="008B678D" w:rsidRDefault="008B678D" w:rsidP="008B678D">
      <w:pPr>
        <w:pStyle w:val="ListParagraph"/>
        <w:numPr>
          <w:ilvl w:val="0"/>
          <w:numId w:val="12"/>
        </w:numPr>
        <w:rPr>
          <w:lang w:val="fr-FR"/>
        </w:rPr>
      </w:pPr>
      <w:r w:rsidRPr="008B678D">
        <w:rPr>
          <w:lang w:val="fr-FR"/>
        </w:rPr>
        <w:t>La zone mixte urbaine centrale à caractère européen et national [MIX-</w:t>
      </w:r>
      <w:proofErr w:type="spellStart"/>
      <w:r w:rsidRPr="008B678D">
        <w:rPr>
          <w:lang w:val="fr-FR"/>
        </w:rPr>
        <w:t>cen</w:t>
      </w:r>
      <w:proofErr w:type="spellEnd"/>
      <w:r w:rsidRPr="008B678D">
        <w:rPr>
          <w:lang w:val="fr-FR"/>
        </w:rPr>
        <w:t>]</w:t>
      </w:r>
    </w:p>
    <w:p w14:paraId="63B8FCED" w14:textId="05A33DBD" w:rsidR="008B678D" w:rsidRPr="008B678D" w:rsidRDefault="008B678D" w:rsidP="008B678D">
      <w:pPr>
        <w:pStyle w:val="ListParagraph"/>
        <w:numPr>
          <w:ilvl w:val="0"/>
          <w:numId w:val="12"/>
        </w:numPr>
        <w:rPr>
          <w:lang w:val="fr-FR"/>
        </w:rPr>
      </w:pPr>
      <w:r w:rsidRPr="008B678D">
        <w:rPr>
          <w:lang w:val="fr-FR"/>
        </w:rPr>
        <w:t>La zone mixte urbaine centrale [</w:t>
      </w:r>
      <w:proofErr w:type="spellStart"/>
      <w:r w:rsidRPr="008B678D">
        <w:rPr>
          <w:lang w:val="fr-FR"/>
        </w:rPr>
        <w:t>MIX-c</w:t>
      </w:r>
      <w:proofErr w:type="spellEnd"/>
      <w:r w:rsidRPr="008B678D">
        <w:rPr>
          <w:lang w:val="fr-FR"/>
        </w:rPr>
        <w:t>]</w:t>
      </w:r>
    </w:p>
    <w:p w14:paraId="4ACBE943" w14:textId="3B8A3A4E" w:rsidR="008B678D" w:rsidRPr="008B678D" w:rsidRDefault="008B678D" w:rsidP="008B678D">
      <w:pPr>
        <w:pStyle w:val="ListParagraph"/>
        <w:numPr>
          <w:ilvl w:val="0"/>
          <w:numId w:val="12"/>
        </w:numPr>
        <w:rPr>
          <w:lang w:val="fr-FR"/>
        </w:rPr>
      </w:pPr>
      <w:r w:rsidRPr="008B678D">
        <w:rPr>
          <w:lang w:val="fr-FR"/>
        </w:rPr>
        <w:t>La zone de bâtiments et d’équipements publics [BEP]</w:t>
      </w:r>
    </w:p>
    <w:p w14:paraId="0BC08F07" w14:textId="5231A55C" w:rsidR="008B678D" w:rsidRPr="008B678D" w:rsidRDefault="008B678D" w:rsidP="008B678D">
      <w:pPr>
        <w:pStyle w:val="Heading4"/>
        <w:rPr>
          <w:lang w:val="fr-FR"/>
        </w:rPr>
      </w:pPr>
      <w:r w:rsidRPr="008B678D">
        <w:rPr>
          <w:lang w:val="fr-FR"/>
        </w:rPr>
        <w:t>E.3.3.1</w:t>
      </w:r>
      <w:r>
        <w:rPr>
          <w:lang w:val="fr-FR"/>
        </w:rPr>
        <w:t xml:space="preserve"> </w:t>
      </w:r>
      <w:r w:rsidRPr="008B678D">
        <w:rPr>
          <w:lang w:val="fr-FR"/>
        </w:rPr>
        <w:t>La zone mixte urbaine centrale à caractère européen et national [MIX-</w:t>
      </w:r>
      <w:proofErr w:type="spellStart"/>
      <w:r w:rsidRPr="008B678D">
        <w:rPr>
          <w:lang w:val="fr-FR"/>
        </w:rPr>
        <w:t>cen</w:t>
      </w:r>
      <w:proofErr w:type="spellEnd"/>
      <w:r w:rsidRPr="008B678D">
        <w:rPr>
          <w:lang w:val="fr-FR"/>
        </w:rPr>
        <w:t>]</w:t>
      </w:r>
    </w:p>
    <w:p w14:paraId="753BB14B" w14:textId="77777777" w:rsidR="008B678D" w:rsidRPr="008B678D" w:rsidRDefault="008B678D" w:rsidP="008B678D">
      <w:pPr>
        <w:rPr>
          <w:lang w:val="fr-FR"/>
        </w:rPr>
      </w:pPr>
      <w:r w:rsidRPr="008B678D">
        <w:rPr>
          <w:lang w:val="fr-FR"/>
        </w:rPr>
        <w:t>La zone mixte centrale à caractère européen et national est composée des lots: Lot A, Lot B, Lot C, Lot D, Lot COQUE, Lot EEL1, Lot UNI et Lot CPE.</w:t>
      </w:r>
    </w:p>
    <w:p w14:paraId="0E0D7B77" w14:textId="77777777" w:rsidR="008B678D" w:rsidRPr="008B678D" w:rsidRDefault="008B678D" w:rsidP="008B678D">
      <w:pPr>
        <w:rPr>
          <w:lang w:val="fr-FR"/>
        </w:rPr>
      </w:pPr>
      <w:r w:rsidRPr="008B678D">
        <w:rPr>
          <w:lang w:val="fr-FR"/>
        </w:rPr>
        <w:lastRenderedPageBreak/>
        <w:t>Les constructions de la zone mixte urbaine centrale à caractère européen et national sont essentiellement destinées aux institutions européennes et nationales. Y sont également admis des services administratifs ou professionnels, des activités d’artisanat et de commerce, des activités de loisirs, des hôtels, des restaurants et des débits de boissons, des équipements de service public et privé, des habitations, des activités de récréation et des espaces libres correspondant à l’ensemble de ces fonctions.</w:t>
      </w:r>
    </w:p>
    <w:p w14:paraId="36464964" w14:textId="77777777" w:rsidR="008B678D" w:rsidRPr="008B678D" w:rsidRDefault="008B678D" w:rsidP="008B678D">
      <w:pPr>
        <w:rPr>
          <w:lang w:val="fr-FR"/>
        </w:rPr>
      </w:pPr>
      <w:r w:rsidRPr="008B678D">
        <w:rPr>
          <w:lang w:val="fr-FR"/>
        </w:rPr>
        <w:t>Des terrasses et toitures terrasses sont autorisées dans les espaces libres privatifs ou publics, respectivement le domaine public.</w:t>
      </w:r>
    </w:p>
    <w:p w14:paraId="417A4DE8" w14:textId="218620D0" w:rsidR="008B678D" w:rsidRPr="008B678D" w:rsidRDefault="008B678D" w:rsidP="008B678D">
      <w:pPr>
        <w:pStyle w:val="Heading4"/>
        <w:rPr>
          <w:lang w:val="fr-FR"/>
        </w:rPr>
      </w:pPr>
      <w:r>
        <w:rPr>
          <w:lang w:val="fr-FR"/>
        </w:rPr>
        <w:t xml:space="preserve">E.3.3.2 </w:t>
      </w:r>
      <w:r w:rsidRPr="008B678D">
        <w:rPr>
          <w:lang w:val="fr-FR"/>
        </w:rPr>
        <w:t>La zone mixte urbaine centrale [</w:t>
      </w:r>
      <w:proofErr w:type="spellStart"/>
      <w:r w:rsidRPr="008B678D">
        <w:rPr>
          <w:lang w:val="fr-FR"/>
        </w:rPr>
        <w:t>MIX-c</w:t>
      </w:r>
      <w:proofErr w:type="spellEnd"/>
      <w:r w:rsidRPr="008B678D">
        <w:rPr>
          <w:lang w:val="fr-FR"/>
        </w:rPr>
        <w:t>]</w:t>
      </w:r>
    </w:p>
    <w:p w14:paraId="0C0B8930" w14:textId="77777777" w:rsidR="008B678D" w:rsidRPr="008B678D" w:rsidRDefault="008B678D" w:rsidP="008B678D">
      <w:pPr>
        <w:rPr>
          <w:lang w:val="fr-FR"/>
        </w:rPr>
      </w:pPr>
      <w:r w:rsidRPr="008B678D">
        <w:rPr>
          <w:lang w:val="fr-FR"/>
        </w:rPr>
        <w:t xml:space="preserve">La zone mixte urbaine centrale est composée des lots: Lot K2, -Bloc K2F1, -Bloc K2F2, -Bloc K2E, -Bloc K2C1, -Bloc K2C2, -Bloc K2D1, -Bloc K2D2, -Bloc K2B1, -Bloc K2B2, -Bloc K2A1, -Bloc K2A2, Lot </w:t>
      </w:r>
      <w:proofErr w:type="spellStart"/>
      <w:r w:rsidRPr="008B678D">
        <w:rPr>
          <w:lang w:val="fr-FR"/>
        </w:rPr>
        <w:t>Ernst&amp;Young</w:t>
      </w:r>
      <w:proofErr w:type="spellEnd"/>
      <w:r w:rsidRPr="008B678D">
        <w:rPr>
          <w:lang w:val="fr-FR"/>
        </w:rPr>
        <w:t>, lot Président, -Bloc président A, -Bloc Président B, -Bloc Président C.</w:t>
      </w:r>
    </w:p>
    <w:p w14:paraId="319AA9FD" w14:textId="77777777" w:rsidR="008B678D" w:rsidRPr="008B678D" w:rsidRDefault="008B678D" w:rsidP="008B678D">
      <w:pPr>
        <w:rPr>
          <w:lang w:val="fr-FR"/>
        </w:rPr>
      </w:pPr>
      <w:r w:rsidRPr="008B678D">
        <w:rPr>
          <w:lang w:val="fr-FR"/>
        </w:rPr>
        <w:t>Les constructions de la zone mixte centrale sont destinées à accueillir des services administratifs ou professionnels, des commerces, des établissements à caractère artisanal, des activités de loisirs, des hôtels, des restaurants et des débits de boissons, des équipements de service public, de l’habitation et des espaces libres correspondant à l’ensemble de ces fonctions.</w:t>
      </w:r>
    </w:p>
    <w:p w14:paraId="1578278E" w14:textId="77777777" w:rsidR="008B678D" w:rsidRPr="008B678D" w:rsidRDefault="008B678D" w:rsidP="008B678D">
      <w:pPr>
        <w:rPr>
          <w:lang w:val="fr-FR"/>
        </w:rPr>
      </w:pPr>
      <w:r w:rsidRPr="008B678D">
        <w:rPr>
          <w:lang w:val="fr-FR"/>
        </w:rPr>
        <w:t>Des terrasses pour les hôtels, les restaurants et les débits de boissons sont autorisées dans les espaces libres privatifs ou publics, respectivement le domaine public.</w:t>
      </w:r>
    </w:p>
    <w:p w14:paraId="3D92217E" w14:textId="6F4C1656" w:rsidR="008B678D" w:rsidRPr="008B678D" w:rsidRDefault="008B678D" w:rsidP="008B678D">
      <w:pPr>
        <w:pStyle w:val="Heading4"/>
        <w:rPr>
          <w:lang w:val="fr-FR"/>
        </w:rPr>
      </w:pPr>
      <w:r>
        <w:rPr>
          <w:lang w:val="fr-FR"/>
        </w:rPr>
        <w:t xml:space="preserve">E.3.3.3 </w:t>
      </w:r>
      <w:r w:rsidRPr="008B678D">
        <w:rPr>
          <w:lang w:val="fr-FR"/>
        </w:rPr>
        <w:t>La zone de bâtiments et d’équipements publics [BEP]</w:t>
      </w:r>
    </w:p>
    <w:p w14:paraId="2A1BAD60" w14:textId="77777777" w:rsidR="008B678D" w:rsidRPr="008B678D" w:rsidRDefault="008B678D" w:rsidP="008B678D">
      <w:pPr>
        <w:rPr>
          <w:lang w:val="fr-FR"/>
        </w:rPr>
      </w:pPr>
      <w:r w:rsidRPr="008B678D">
        <w:rPr>
          <w:lang w:val="fr-FR"/>
        </w:rPr>
        <w:t>La zone de bâtiments et d’équipements publics est composée du lot: Lot Bibliothèque Nationale.</w:t>
      </w:r>
    </w:p>
    <w:p w14:paraId="02D7041C" w14:textId="77777777" w:rsidR="008B678D" w:rsidRPr="008B678D" w:rsidRDefault="008B678D" w:rsidP="008B678D">
      <w:pPr>
        <w:rPr>
          <w:lang w:val="fr-FR"/>
        </w:rPr>
      </w:pPr>
      <w:r w:rsidRPr="008B678D">
        <w:rPr>
          <w:lang w:val="fr-FR"/>
        </w:rPr>
        <w:t>La zone de bâtiments et d’équipements publics est réservée aux constructions et aménagements d’utilité publique, ainsi qu’aux affectations liées aux activités de la zone.</w:t>
      </w:r>
    </w:p>
    <w:p w14:paraId="0DC55D8C" w14:textId="77777777" w:rsidR="008B678D" w:rsidRPr="008B678D" w:rsidRDefault="008B678D" w:rsidP="008B678D">
      <w:pPr>
        <w:rPr>
          <w:lang w:val="fr-FR"/>
        </w:rPr>
      </w:pPr>
      <w:r w:rsidRPr="008B678D">
        <w:rPr>
          <w:lang w:val="fr-FR"/>
        </w:rPr>
        <w:t>Y sont admis des logements de service.</w:t>
      </w:r>
    </w:p>
    <w:p w14:paraId="67A28040" w14:textId="77777777" w:rsidR="008B678D" w:rsidRPr="008B678D" w:rsidRDefault="008B678D" w:rsidP="008B678D">
      <w:pPr>
        <w:pStyle w:val="Heading3"/>
        <w:rPr>
          <w:lang w:val="fr-FR"/>
        </w:rPr>
      </w:pPr>
      <w:r w:rsidRPr="008B678D">
        <w:rPr>
          <w:lang w:val="fr-FR"/>
        </w:rPr>
        <w:t>E.3.2 Les dispositions pour la zone mixte urbaine centrale à caractère européen et national – [MIX-</w:t>
      </w:r>
      <w:proofErr w:type="spellStart"/>
      <w:r w:rsidRPr="008B678D">
        <w:rPr>
          <w:lang w:val="fr-FR"/>
        </w:rPr>
        <w:t>cen</w:t>
      </w:r>
      <w:proofErr w:type="spellEnd"/>
      <w:r w:rsidRPr="008B678D">
        <w:rPr>
          <w:lang w:val="fr-FR"/>
        </w:rPr>
        <w:t>]</w:t>
      </w:r>
    </w:p>
    <w:p w14:paraId="601F1787" w14:textId="7317C97D" w:rsidR="008B678D" w:rsidRPr="008B678D" w:rsidRDefault="008B678D" w:rsidP="008B678D">
      <w:pPr>
        <w:pStyle w:val="Heading4"/>
        <w:rPr>
          <w:lang w:val="fr-FR"/>
        </w:rPr>
      </w:pPr>
      <w:r>
        <w:rPr>
          <w:lang w:val="fr-FR"/>
        </w:rPr>
        <w:t xml:space="preserve">E.3.2.1 </w:t>
      </w:r>
      <w:r w:rsidRPr="008B678D">
        <w:rPr>
          <w:lang w:val="fr-FR"/>
        </w:rPr>
        <w:t>L’implantation, la profond</w:t>
      </w:r>
      <w:r>
        <w:rPr>
          <w:lang w:val="fr-FR"/>
        </w:rPr>
        <w:t>eur et les marges de reculement</w:t>
      </w:r>
    </w:p>
    <w:p w14:paraId="23D66EAF" w14:textId="1FD69254" w:rsidR="008B678D" w:rsidRPr="008B678D" w:rsidRDefault="008B678D" w:rsidP="008B678D">
      <w:pPr>
        <w:rPr>
          <w:lang w:val="fr-FR"/>
        </w:rPr>
      </w:pPr>
      <w:r w:rsidRPr="008B678D">
        <w:rPr>
          <w:lang w:val="fr-FR"/>
        </w:rPr>
        <w:t xml:space="preserve">L’implantation des constructions se fera à l’intérieur des </w:t>
      </w:r>
      <w:r>
        <w:rPr>
          <w:lang w:val="fr-FR"/>
        </w:rPr>
        <w:t>« </w:t>
      </w:r>
      <w:r w:rsidRPr="008B678D">
        <w:rPr>
          <w:lang w:val="fr-FR"/>
        </w:rPr>
        <w:t>limites de surfaces constructibles pour constructions destinées au séjour prolongé</w:t>
      </w:r>
      <w:r>
        <w:rPr>
          <w:lang w:val="fr-FR"/>
        </w:rPr>
        <w:t> »</w:t>
      </w:r>
      <w:r w:rsidRPr="008B678D">
        <w:rPr>
          <w:lang w:val="fr-FR"/>
        </w:rPr>
        <w:t xml:space="preserve"> et des </w:t>
      </w:r>
      <w:r>
        <w:rPr>
          <w:lang w:val="fr-FR"/>
        </w:rPr>
        <w:t>« </w:t>
      </w:r>
      <w:r w:rsidRPr="008B678D">
        <w:rPr>
          <w:lang w:val="fr-FR"/>
        </w:rPr>
        <w:t>limites de surfaces constructibles pour constructions souterraines</w:t>
      </w:r>
      <w:r>
        <w:rPr>
          <w:lang w:val="fr-FR"/>
        </w:rPr>
        <w:t> »</w:t>
      </w:r>
      <w:r w:rsidRPr="008B678D">
        <w:rPr>
          <w:lang w:val="fr-FR"/>
        </w:rPr>
        <w:t>, définies dans la partie graphique du PAP QE.</w:t>
      </w:r>
    </w:p>
    <w:p w14:paraId="746104D7" w14:textId="77777777" w:rsidR="008B678D" w:rsidRPr="008B678D" w:rsidRDefault="008B678D" w:rsidP="008B678D">
      <w:pPr>
        <w:rPr>
          <w:lang w:val="fr-FR"/>
        </w:rPr>
      </w:pPr>
      <w:r w:rsidRPr="008B678D">
        <w:rPr>
          <w:lang w:val="fr-FR"/>
        </w:rPr>
        <w:t>La profondeur des constructions est définie par la surface résultante de l’implantation maximale des constructions hors sol et en sous-sol.</w:t>
      </w:r>
    </w:p>
    <w:p w14:paraId="4903A111" w14:textId="77777777" w:rsidR="008B678D" w:rsidRPr="008B678D" w:rsidRDefault="008B678D" w:rsidP="008B678D">
      <w:pPr>
        <w:rPr>
          <w:lang w:val="fr-FR"/>
        </w:rPr>
      </w:pPr>
      <w:r w:rsidRPr="008B678D">
        <w:rPr>
          <w:lang w:val="fr-FR"/>
        </w:rPr>
        <w:t>Les constructions peuvent être implantées avec ou sans reculs sur les limites antérieures, latérales et postérieures, tel que défini dans la partie graphique du PAP QE.</w:t>
      </w:r>
    </w:p>
    <w:p w14:paraId="38FDEE07" w14:textId="5C9EFE2C" w:rsidR="006605E2" w:rsidRDefault="008B678D" w:rsidP="008B678D">
      <w:pPr>
        <w:rPr>
          <w:lang w:val="fr-FR"/>
        </w:rPr>
      </w:pPr>
      <w:r w:rsidRPr="008B678D">
        <w:rPr>
          <w:lang w:val="fr-FR"/>
        </w:rPr>
        <w:lastRenderedPageBreak/>
        <w:t>Tableau des surfaces construites brutes (SCB) autorisées pour chaque lot</w:t>
      </w:r>
    </w:p>
    <w:tbl>
      <w:tblPr>
        <w:tblStyle w:val="TableGrid"/>
        <w:tblW w:w="8221" w:type="dxa"/>
        <w:jc w:val="center"/>
        <w:tblLook w:val="04A0" w:firstRow="1" w:lastRow="0" w:firstColumn="1" w:lastColumn="0" w:noHBand="0" w:noVBand="1"/>
      </w:tblPr>
      <w:tblGrid>
        <w:gridCol w:w="1417"/>
        <w:gridCol w:w="1843"/>
        <w:gridCol w:w="2413"/>
        <w:gridCol w:w="2548"/>
      </w:tblGrid>
      <w:tr w:rsidR="008B678D" w:rsidRPr="008B678D" w14:paraId="57317550" w14:textId="77777777" w:rsidTr="008B678D">
        <w:trPr>
          <w:jc w:val="center"/>
        </w:trPr>
        <w:tc>
          <w:tcPr>
            <w:tcW w:w="1417" w:type="dxa"/>
            <w:shd w:val="clear" w:color="auto" w:fill="D9D9D9" w:themeFill="background1" w:themeFillShade="D9"/>
          </w:tcPr>
          <w:p w14:paraId="2BACA69C" w14:textId="77777777" w:rsidR="008B678D" w:rsidRPr="008B678D" w:rsidRDefault="008B678D" w:rsidP="008B678D">
            <w:pPr>
              <w:pStyle w:val="NormalTableau"/>
            </w:pPr>
            <w:r w:rsidRPr="008B678D">
              <w:t>Lot</w:t>
            </w:r>
          </w:p>
        </w:tc>
        <w:tc>
          <w:tcPr>
            <w:tcW w:w="1843" w:type="dxa"/>
            <w:shd w:val="clear" w:color="auto" w:fill="D9D9D9" w:themeFill="background1" w:themeFillShade="D9"/>
          </w:tcPr>
          <w:p w14:paraId="19808537" w14:textId="77777777" w:rsidR="008B678D" w:rsidRPr="008B678D" w:rsidRDefault="008B678D" w:rsidP="008B678D">
            <w:pPr>
              <w:pStyle w:val="NormalTableau"/>
            </w:pPr>
            <w:r w:rsidRPr="008B678D">
              <w:t>SCB des locaux hors sol (m</w:t>
            </w:r>
            <w:r w:rsidRPr="008B678D">
              <w:rPr>
                <w:vertAlign w:val="superscript"/>
              </w:rPr>
              <w:t>2</w:t>
            </w:r>
            <w:r w:rsidRPr="008B678D">
              <w:t>)</w:t>
            </w:r>
          </w:p>
        </w:tc>
        <w:tc>
          <w:tcPr>
            <w:tcW w:w="2413" w:type="dxa"/>
            <w:shd w:val="clear" w:color="auto" w:fill="D9D9D9" w:themeFill="background1" w:themeFillShade="D9"/>
          </w:tcPr>
          <w:p w14:paraId="728360F3" w14:textId="77777777" w:rsidR="008B678D" w:rsidRPr="008B678D" w:rsidRDefault="008B678D" w:rsidP="008B678D">
            <w:pPr>
              <w:pStyle w:val="NormalTableau"/>
            </w:pPr>
            <w:r w:rsidRPr="008B678D">
              <w:t>SCB des franchises des locaux aménageables en sous-sol (m</w:t>
            </w:r>
            <w:r w:rsidRPr="008B678D">
              <w:rPr>
                <w:vertAlign w:val="superscript"/>
              </w:rPr>
              <w:t>2</w:t>
            </w:r>
            <w:r w:rsidRPr="008B678D">
              <w:t>)</w:t>
            </w:r>
          </w:p>
        </w:tc>
        <w:tc>
          <w:tcPr>
            <w:tcW w:w="2548" w:type="dxa"/>
            <w:shd w:val="clear" w:color="auto" w:fill="D9D9D9" w:themeFill="background1" w:themeFillShade="D9"/>
          </w:tcPr>
          <w:p w14:paraId="352B3F8B" w14:textId="77777777" w:rsidR="008B678D" w:rsidRPr="008B678D" w:rsidRDefault="008B678D" w:rsidP="008B678D">
            <w:pPr>
              <w:pStyle w:val="NormalTableau"/>
            </w:pPr>
            <w:r w:rsidRPr="008B678D">
              <w:t>SCB des franchises des locaux techniques en toiture (m</w:t>
            </w:r>
            <w:r w:rsidRPr="008B678D">
              <w:rPr>
                <w:vertAlign w:val="superscript"/>
              </w:rPr>
              <w:t>2</w:t>
            </w:r>
            <w:r w:rsidRPr="008B678D">
              <w:t>)</w:t>
            </w:r>
          </w:p>
        </w:tc>
      </w:tr>
      <w:tr w:rsidR="008B678D" w:rsidRPr="008B678D" w14:paraId="5608EA9D" w14:textId="77777777" w:rsidTr="008B678D">
        <w:trPr>
          <w:jc w:val="center"/>
        </w:trPr>
        <w:tc>
          <w:tcPr>
            <w:tcW w:w="1417" w:type="dxa"/>
          </w:tcPr>
          <w:p w14:paraId="1F6E5249" w14:textId="77777777" w:rsidR="008B678D" w:rsidRPr="008B678D" w:rsidRDefault="008B678D" w:rsidP="008B678D">
            <w:pPr>
              <w:pStyle w:val="NormalTableau"/>
            </w:pPr>
            <w:r w:rsidRPr="008B678D">
              <w:t>Lot A</w:t>
            </w:r>
          </w:p>
        </w:tc>
        <w:tc>
          <w:tcPr>
            <w:tcW w:w="1843" w:type="dxa"/>
          </w:tcPr>
          <w:p w14:paraId="6657744A" w14:textId="77777777" w:rsidR="008B678D" w:rsidRPr="008B678D" w:rsidRDefault="008B678D" w:rsidP="008B678D">
            <w:pPr>
              <w:pStyle w:val="NormalTableau"/>
            </w:pPr>
            <w:r w:rsidRPr="008B678D">
              <w:t>3 069</w:t>
            </w:r>
          </w:p>
        </w:tc>
        <w:tc>
          <w:tcPr>
            <w:tcW w:w="2413" w:type="dxa"/>
          </w:tcPr>
          <w:p w14:paraId="44151672" w14:textId="77777777" w:rsidR="008B678D" w:rsidRPr="008B678D" w:rsidRDefault="008B678D" w:rsidP="008B678D">
            <w:pPr>
              <w:pStyle w:val="NormalTableau"/>
            </w:pPr>
            <w:r w:rsidRPr="008B678D">
              <w:t>77</w:t>
            </w:r>
          </w:p>
        </w:tc>
        <w:tc>
          <w:tcPr>
            <w:tcW w:w="2548" w:type="dxa"/>
          </w:tcPr>
          <w:p w14:paraId="780AEBE7" w14:textId="77777777" w:rsidR="008B678D" w:rsidRPr="008B678D" w:rsidRDefault="008B678D" w:rsidP="008B678D">
            <w:pPr>
              <w:pStyle w:val="NormalTableau"/>
            </w:pPr>
            <w:r w:rsidRPr="008B678D">
              <w:t>77</w:t>
            </w:r>
          </w:p>
        </w:tc>
      </w:tr>
      <w:tr w:rsidR="008B678D" w:rsidRPr="008B678D" w14:paraId="2CF880D1" w14:textId="77777777" w:rsidTr="008B678D">
        <w:trPr>
          <w:jc w:val="center"/>
        </w:trPr>
        <w:tc>
          <w:tcPr>
            <w:tcW w:w="1417" w:type="dxa"/>
          </w:tcPr>
          <w:p w14:paraId="2F1D5FE1" w14:textId="77777777" w:rsidR="008B678D" w:rsidRPr="008B678D" w:rsidRDefault="008B678D" w:rsidP="008B678D">
            <w:pPr>
              <w:pStyle w:val="NormalTableau"/>
            </w:pPr>
            <w:r w:rsidRPr="008B678D">
              <w:t>Lot B</w:t>
            </w:r>
          </w:p>
        </w:tc>
        <w:tc>
          <w:tcPr>
            <w:tcW w:w="1843" w:type="dxa"/>
          </w:tcPr>
          <w:p w14:paraId="14F40239" w14:textId="77777777" w:rsidR="008B678D" w:rsidRPr="008B678D" w:rsidRDefault="008B678D" w:rsidP="008B678D">
            <w:pPr>
              <w:pStyle w:val="NormalTableau"/>
            </w:pPr>
            <w:r w:rsidRPr="008B678D">
              <w:t>3 168</w:t>
            </w:r>
          </w:p>
        </w:tc>
        <w:tc>
          <w:tcPr>
            <w:tcW w:w="2413" w:type="dxa"/>
          </w:tcPr>
          <w:p w14:paraId="7006031F" w14:textId="77777777" w:rsidR="008B678D" w:rsidRPr="008B678D" w:rsidRDefault="008B678D" w:rsidP="008B678D">
            <w:pPr>
              <w:pStyle w:val="NormalTableau"/>
            </w:pPr>
            <w:r w:rsidRPr="008B678D">
              <w:t>79</w:t>
            </w:r>
          </w:p>
        </w:tc>
        <w:tc>
          <w:tcPr>
            <w:tcW w:w="2548" w:type="dxa"/>
          </w:tcPr>
          <w:p w14:paraId="31B2A1DE" w14:textId="77777777" w:rsidR="008B678D" w:rsidRPr="008B678D" w:rsidRDefault="008B678D" w:rsidP="008B678D">
            <w:pPr>
              <w:pStyle w:val="NormalTableau"/>
            </w:pPr>
            <w:r w:rsidRPr="008B678D">
              <w:t>79</w:t>
            </w:r>
          </w:p>
        </w:tc>
      </w:tr>
      <w:tr w:rsidR="008B678D" w:rsidRPr="008B678D" w14:paraId="4F74A909" w14:textId="77777777" w:rsidTr="008B678D">
        <w:trPr>
          <w:jc w:val="center"/>
        </w:trPr>
        <w:tc>
          <w:tcPr>
            <w:tcW w:w="1417" w:type="dxa"/>
          </w:tcPr>
          <w:p w14:paraId="54728A1F" w14:textId="77777777" w:rsidR="008B678D" w:rsidRPr="008B678D" w:rsidRDefault="008B678D" w:rsidP="008B678D">
            <w:pPr>
              <w:pStyle w:val="NormalTableau"/>
            </w:pPr>
            <w:r w:rsidRPr="008B678D">
              <w:t>Lot C</w:t>
            </w:r>
          </w:p>
        </w:tc>
        <w:tc>
          <w:tcPr>
            <w:tcW w:w="1843" w:type="dxa"/>
          </w:tcPr>
          <w:p w14:paraId="4929A9F1" w14:textId="77777777" w:rsidR="008B678D" w:rsidRPr="008B678D" w:rsidRDefault="008B678D" w:rsidP="008B678D">
            <w:pPr>
              <w:pStyle w:val="NormalTableau"/>
            </w:pPr>
            <w:r w:rsidRPr="008B678D">
              <w:t>3 379</w:t>
            </w:r>
          </w:p>
        </w:tc>
        <w:tc>
          <w:tcPr>
            <w:tcW w:w="2413" w:type="dxa"/>
          </w:tcPr>
          <w:p w14:paraId="5E6964DB" w14:textId="77777777" w:rsidR="008B678D" w:rsidRPr="008B678D" w:rsidRDefault="008B678D" w:rsidP="008B678D">
            <w:pPr>
              <w:pStyle w:val="NormalTableau"/>
            </w:pPr>
            <w:r w:rsidRPr="008B678D">
              <w:t>84</w:t>
            </w:r>
          </w:p>
        </w:tc>
        <w:tc>
          <w:tcPr>
            <w:tcW w:w="2548" w:type="dxa"/>
          </w:tcPr>
          <w:p w14:paraId="0C4F0B64" w14:textId="77777777" w:rsidR="008B678D" w:rsidRPr="008B678D" w:rsidRDefault="008B678D" w:rsidP="008B678D">
            <w:pPr>
              <w:pStyle w:val="NormalTableau"/>
            </w:pPr>
            <w:r w:rsidRPr="008B678D">
              <w:t>84</w:t>
            </w:r>
          </w:p>
        </w:tc>
      </w:tr>
      <w:tr w:rsidR="008B678D" w:rsidRPr="008B678D" w14:paraId="7402F1EB" w14:textId="77777777" w:rsidTr="008B678D">
        <w:trPr>
          <w:jc w:val="center"/>
        </w:trPr>
        <w:tc>
          <w:tcPr>
            <w:tcW w:w="1417" w:type="dxa"/>
          </w:tcPr>
          <w:p w14:paraId="49859077" w14:textId="77777777" w:rsidR="008B678D" w:rsidRPr="008B678D" w:rsidRDefault="008B678D" w:rsidP="008B678D">
            <w:pPr>
              <w:pStyle w:val="NormalTableau"/>
            </w:pPr>
            <w:r w:rsidRPr="008B678D">
              <w:t>Lot D</w:t>
            </w:r>
          </w:p>
        </w:tc>
        <w:tc>
          <w:tcPr>
            <w:tcW w:w="1843" w:type="dxa"/>
          </w:tcPr>
          <w:p w14:paraId="24040909" w14:textId="77777777" w:rsidR="008B678D" w:rsidRPr="008B678D" w:rsidRDefault="008B678D" w:rsidP="008B678D">
            <w:pPr>
              <w:pStyle w:val="NormalTableau"/>
            </w:pPr>
            <w:r w:rsidRPr="008B678D">
              <w:t>3 656</w:t>
            </w:r>
          </w:p>
        </w:tc>
        <w:tc>
          <w:tcPr>
            <w:tcW w:w="2413" w:type="dxa"/>
          </w:tcPr>
          <w:p w14:paraId="49DB7603" w14:textId="77777777" w:rsidR="008B678D" w:rsidRPr="008B678D" w:rsidRDefault="008B678D" w:rsidP="008B678D">
            <w:pPr>
              <w:pStyle w:val="NormalTableau"/>
            </w:pPr>
            <w:r w:rsidRPr="008B678D">
              <w:t>91</w:t>
            </w:r>
          </w:p>
        </w:tc>
        <w:tc>
          <w:tcPr>
            <w:tcW w:w="2548" w:type="dxa"/>
          </w:tcPr>
          <w:p w14:paraId="034B1F78" w14:textId="77777777" w:rsidR="008B678D" w:rsidRPr="008B678D" w:rsidRDefault="008B678D" w:rsidP="008B678D">
            <w:pPr>
              <w:pStyle w:val="NormalTableau"/>
            </w:pPr>
            <w:r w:rsidRPr="008B678D">
              <w:t>91</w:t>
            </w:r>
          </w:p>
        </w:tc>
      </w:tr>
      <w:tr w:rsidR="008B678D" w:rsidRPr="008B678D" w14:paraId="6F1B404E" w14:textId="77777777" w:rsidTr="008B678D">
        <w:trPr>
          <w:jc w:val="center"/>
        </w:trPr>
        <w:tc>
          <w:tcPr>
            <w:tcW w:w="1417" w:type="dxa"/>
          </w:tcPr>
          <w:p w14:paraId="3007AE79" w14:textId="77777777" w:rsidR="008B678D" w:rsidRPr="008B678D" w:rsidRDefault="008B678D" w:rsidP="008B678D">
            <w:pPr>
              <w:pStyle w:val="NormalTableau"/>
            </w:pPr>
            <w:r w:rsidRPr="008B678D">
              <w:t>Lot EEL1</w:t>
            </w:r>
          </w:p>
        </w:tc>
        <w:tc>
          <w:tcPr>
            <w:tcW w:w="1843" w:type="dxa"/>
          </w:tcPr>
          <w:p w14:paraId="31BD2A4E" w14:textId="77777777" w:rsidR="008B678D" w:rsidRPr="008B678D" w:rsidRDefault="008B678D" w:rsidP="008B678D">
            <w:pPr>
              <w:pStyle w:val="NormalTableau"/>
            </w:pPr>
            <w:r w:rsidRPr="008B678D">
              <w:t>sans objet</w:t>
            </w:r>
          </w:p>
        </w:tc>
        <w:tc>
          <w:tcPr>
            <w:tcW w:w="2413" w:type="dxa"/>
          </w:tcPr>
          <w:p w14:paraId="410CBDB7" w14:textId="77777777" w:rsidR="008B678D" w:rsidRPr="008B678D" w:rsidRDefault="008B678D" w:rsidP="008B678D">
            <w:pPr>
              <w:pStyle w:val="NormalTableau"/>
            </w:pPr>
            <w:r w:rsidRPr="008B678D">
              <w:t>sans objet</w:t>
            </w:r>
          </w:p>
        </w:tc>
        <w:tc>
          <w:tcPr>
            <w:tcW w:w="2548" w:type="dxa"/>
          </w:tcPr>
          <w:p w14:paraId="20D6E4FB" w14:textId="77777777" w:rsidR="008B678D" w:rsidRPr="008B678D" w:rsidRDefault="008B678D" w:rsidP="008B678D">
            <w:pPr>
              <w:pStyle w:val="NormalTableau"/>
            </w:pPr>
            <w:r w:rsidRPr="008B678D">
              <w:t>sans objet</w:t>
            </w:r>
          </w:p>
        </w:tc>
      </w:tr>
      <w:tr w:rsidR="008B678D" w:rsidRPr="008B678D" w14:paraId="5AF9C224" w14:textId="77777777" w:rsidTr="008B678D">
        <w:trPr>
          <w:jc w:val="center"/>
        </w:trPr>
        <w:tc>
          <w:tcPr>
            <w:tcW w:w="1417" w:type="dxa"/>
          </w:tcPr>
          <w:p w14:paraId="037EE959" w14:textId="77777777" w:rsidR="008B678D" w:rsidRPr="008B678D" w:rsidRDefault="008B678D" w:rsidP="008B678D">
            <w:pPr>
              <w:pStyle w:val="NormalTableau"/>
            </w:pPr>
            <w:r w:rsidRPr="008B678D">
              <w:t>Lot COQUE</w:t>
            </w:r>
          </w:p>
        </w:tc>
        <w:tc>
          <w:tcPr>
            <w:tcW w:w="1843" w:type="dxa"/>
          </w:tcPr>
          <w:p w14:paraId="36CABC4C" w14:textId="77777777" w:rsidR="008B678D" w:rsidRPr="008B678D" w:rsidRDefault="008B678D" w:rsidP="008B678D">
            <w:pPr>
              <w:pStyle w:val="NormalTableau"/>
            </w:pPr>
            <w:r w:rsidRPr="008B678D">
              <w:t>sans objet</w:t>
            </w:r>
          </w:p>
        </w:tc>
        <w:tc>
          <w:tcPr>
            <w:tcW w:w="2413" w:type="dxa"/>
          </w:tcPr>
          <w:p w14:paraId="1AA67598" w14:textId="77777777" w:rsidR="008B678D" w:rsidRPr="008B678D" w:rsidRDefault="008B678D" w:rsidP="008B678D">
            <w:pPr>
              <w:pStyle w:val="NormalTableau"/>
            </w:pPr>
            <w:r w:rsidRPr="008B678D">
              <w:t>sans objet</w:t>
            </w:r>
          </w:p>
        </w:tc>
        <w:tc>
          <w:tcPr>
            <w:tcW w:w="2548" w:type="dxa"/>
          </w:tcPr>
          <w:p w14:paraId="7EFA14B8" w14:textId="77777777" w:rsidR="008B678D" w:rsidRPr="008B678D" w:rsidRDefault="008B678D" w:rsidP="008B678D">
            <w:pPr>
              <w:pStyle w:val="NormalTableau"/>
            </w:pPr>
            <w:r w:rsidRPr="008B678D">
              <w:t>sans objet</w:t>
            </w:r>
          </w:p>
        </w:tc>
      </w:tr>
      <w:tr w:rsidR="008B678D" w:rsidRPr="008B678D" w14:paraId="5F49F037" w14:textId="77777777" w:rsidTr="008B678D">
        <w:trPr>
          <w:jc w:val="center"/>
        </w:trPr>
        <w:tc>
          <w:tcPr>
            <w:tcW w:w="1417" w:type="dxa"/>
          </w:tcPr>
          <w:p w14:paraId="3A99BD1D" w14:textId="77777777" w:rsidR="008B678D" w:rsidRPr="008B678D" w:rsidRDefault="008B678D" w:rsidP="008B678D">
            <w:pPr>
              <w:pStyle w:val="NormalTableau"/>
            </w:pPr>
            <w:r w:rsidRPr="008B678D">
              <w:t>Lot UNI</w:t>
            </w:r>
          </w:p>
        </w:tc>
        <w:tc>
          <w:tcPr>
            <w:tcW w:w="1843" w:type="dxa"/>
          </w:tcPr>
          <w:p w14:paraId="36F8D9CD" w14:textId="77777777" w:rsidR="008B678D" w:rsidRPr="008B678D" w:rsidRDefault="008B678D" w:rsidP="008B678D">
            <w:pPr>
              <w:pStyle w:val="NormalTableau"/>
            </w:pPr>
            <w:r w:rsidRPr="008B678D">
              <w:t>sans objet</w:t>
            </w:r>
          </w:p>
        </w:tc>
        <w:tc>
          <w:tcPr>
            <w:tcW w:w="2413" w:type="dxa"/>
          </w:tcPr>
          <w:p w14:paraId="03C86644" w14:textId="77777777" w:rsidR="008B678D" w:rsidRPr="008B678D" w:rsidRDefault="008B678D" w:rsidP="008B678D">
            <w:pPr>
              <w:pStyle w:val="NormalTableau"/>
            </w:pPr>
            <w:r w:rsidRPr="008B678D">
              <w:t>sans objet</w:t>
            </w:r>
          </w:p>
        </w:tc>
        <w:tc>
          <w:tcPr>
            <w:tcW w:w="2548" w:type="dxa"/>
          </w:tcPr>
          <w:p w14:paraId="3A07FB8C" w14:textId="77777777" w:rsidR="008B678D" w:rsidRPr="008B678D" w:rsidRDefault="008B678D" w:rsidP="008B678D">
            <w:pPr>
              <w:pStyle w:val="NormalTableau"/>
            </w:pPr>
            <w:r w:rsidRPr="008B678D">
              <w:t>sans objet</w:t>
            </w:r>
          </w:p>
        </w:tc>
      </w:tr>
      <w:tr w:rsidR="008B678D" w:rsidRPr="008B678D" w14:paraId="5E66E20B" w14:textId="77777777" w:rsidTr="008B678D">
        <w:trPr>
          <w:jc w:val="center"/>
        </w:trPr>
        <w:tc>
          <w:tcPr>
            <w:tcW w:w="1417" w:type="dxa"/>
          </w:tcPr>
          <w:p w14:paraId="32915D53" w14:textId="77777777" w:rsidR="008B678D" w:rsidRPr="008B678D" w:rsidRDefault="008B678D" w:rsidP="008B678D">
            <w:pPr>
              <w:pStyle w:val="NormalTableau"/>
            </w:pPr>
            <w:r w:rsidRPr="008B678D">
              <w:t>Lot CPE</w:t>
            </w:r>
          </w:p>
        </w:tc>
        <w:tc>
          <w:tcPr>
            <w:tcW w:w="1843" w:type="dxa"/>
          </w:tcPr>
          <w:p w14:paraId="0DB60FD9" w14:textId="77777777" w:rsidR="008B678D" w:rsidRPr="008B678D" w:rsidRDefault="008B678D" w:rsidP="008B678D">
            <w:pPr>
              <w:pStyle w:val="NormalTableau"/>
            </w:pPr>
            <w:r w:rsidRPr="008B678D">
              <w:t>sans objet</w:t>
            </w:r>
          </w:p>
        </w:tc>
        <w:tc>
          <w:tcPr>
            <w:tcW w:w="2413" w:type="dxa"/>
          </w:tcPr>
          <w:p w14:paraId="1C8AB161" w14:textId="77777777" w:rsidR="008B678D" w:rsidRPr="008B678D" w:rsidRDefault="008B678D" w:rsidP="008B678D">
            <w:pPr>
              <w:pStyle w:val="NormalTableau"/>
            </w:pPr>
            <w:r w:rsidRPr="008B678D">
              <w:t>sans objet</w:t>
            </w:r>
          </w:p>
        </w:tc>
        <w:tc>
          <w:tcPr>
            <w:tcW w:w="2548" w:type="dxa"/>
          </w:tcPr>
          <w:p w14:paraId="0FC39CE6" w14:textId="77777777" w:rsidR="008B678D" w:rsidRPr="008B678D" w:rsidRDefault="008B678D" w:rsidP="008B678D">
            <w:pPr>
              <w:pStyle w:val="NormalTableau"/>
            </w:pPr>
            <w:r w:rsidRPr="008B678D">
              <w:t>sans objet</w:t>
            </w:r>
          </w:p>
        </w:tc>
      </w:tr>
    </w:tbl>
    <w:p w14:paraId="5A89BC9E" w14:textId="2BFAAC92" w:rsidR="008B678D" w:rsidRDefault="008B678D" w:rsidP="008B678D">
      <w:pPr>
        <w:rPr>
          <w:lang w:val="fr-FR"/>
        </w:rPr>
      </w:pPr>
    </w:p>
    <w:p w14:paraId="2FEF2800" w14:textId="6A55E7CC" w:rsidR="008B678D" w:rsidRPr="008B678D" w:rsidRDefault="008B678D" w:rsidP="008B678D">
      <w:pPr>
        <w:rPr>
          <w:lang w:val="fr-FR"/>
        </w:rPr>
      </w:pPr>
      <w:r w:rsidRPr="008B678D">
        <w:rPr>
          <w:lang w:val="fr-FR"/>
        </w:rPr>
        <w:t>Les franchises des locaux aménageables en sous-sol et des locaux techniques en toiture ne s’appl</w:t>
      </w:r>
      <w:r>
        <w:rPr>
          <w:lang w:val="fr-FR"/>
        </w:rPr>
        <w:t>iquent qu’en cas de démolition</w:t>
      </w:r>
      <w:r w:rsidRPr="008B678D">
        <w:rPr>
          <w:lang w:val="fr-FR"/>
        </w:rPr>
        <w:t>/reconstruction du bâtiment.</w:t>
      </w:r>
    </w:p>
    <w:p w14:paraId="04DE472B" w14:textId="42E0E36A" w:rsidR="008B678D" w:rsidRPr="008B678D" w:rsidRDefault="008B678D" w:rsidP="008B678D">
      <w:pPr>
        <w:rPr>
          <w:lang w:val="fr-FR"/>
        </w:rPr>
      </w:pPr>
      <w:r w:rsidRPr="008B678D">
        <w:rPr>
          <w:lang w:val="fr-FR"/>
        </w:rPr>
        <w:t xml:space="preserve">Par </w:t>
      </w:r>
      <w:r>
        <w:rPr>
          <w:lang w:val="fr-FR"/>
        </w:rPr>
        <w:t>« </w:t>
      </w:r>
      <w:r w:rsidRPr="008B678D">
        <w:rPr>
          <w:lang w:val="fr-FR"/>
        </w:rPr>
        <w:t>franchise des locaux aménageables en sous-sol</w:t>
      </w:r>
      <w:r>
        <w:rPr>
          <w:lang w:val="fr-FR"/>
        </w:rPr>
        <w:t> »</w:t>
      </w:r>
      <w:r w:rsidRPr="008B678D">
        <w:rPr>
          <w:lang w:val="fr-FR"/>
        </w:rPr>
        <w:t xml:space="preserve">, on entend la surface jusqu’à concurrence de laquelle des locaux aménageables en sous-sol peuvent être construits sans qu’ils soient à comptabiliser en tant que </w:t>
      </w:r>
      <w:r>
        <w:rPr>
          <w:lang w:val="fr-FR"/>
        </w:rPr>
        <w:t>« </w:t>
      </w:r>
      <w:r w:rsidRPr="008B678D">
        <w:rPr>
          <w:lang w:val="fr-FR"/>
        </w:rPr>
        <w:t>SCB des locaux hors sol</w:t>
      </w:r>
      <w:r>
        <w:rPr>
          <w:lang w:val="fr-FR"/>
        </w:rPr>
        <w:t> »</w:t>
      </w:r>
      <w:r w:rsidRPr="008B678D">
        <w:rPr>
          <w:lang w:val="fr-FR"/>
        </w:rPr>
        <w:t xml:space="preserve">. Au-delà de la surface indiquée dans cette franchise, la surface des locaux aménageables en sous-sol est à comptabiliser en tant que </w:t>
      </w:r>
      <w:r>
        <w:rPr>
          <w:lang w:val="fr-FR"/>
        </w:rPr>
        <w:t>« </w:t>
      </w:r>
      <w:r w:rsidRPr="008B678D">
        <w:rPr>
          <w:lang w:val="fr-FR"/>
        </w:rPr>
        <w:t>SCB des locaux hors-sol</w:t>
      </w:r>
      <w:r>
        <w:rPr>
          <w:lang w:val="fr-FR"/>
        </w:rPr>
        <w:t> »</w:t>
      </w:r>
      <w:r w:rsidRPr="008B678D">
        <w:rPr>
          <w:lang w:val="fr-FR"/>
        </w:rPr>
        <w:t>.</w:t>
      </w:r>
    </w:p>
    <w:p w14:paraId="5E5CF4D1" w14:textId="5A7220C4" w:rsidR="008B678D" w:rsidRPr="008B678D" w:rsidRDefault="008B678D" w:rsidP="008B678D">
      <w:pPr>
        <w:rPr>
          <w:lang w:val="fr-FR"/>
        </w:rPr>
      </w:pPr>
      <w:r w:rsidRPr="008B678D">
        <w:rPr>
          <w:lang w:val="fr-FR"/>
        </w:rPr>
        <w:t xml:space="preserve">Par </w:t>
      </w:r>
      <w:r>
        <w:rPr>
          <w:lang w:val="fr-FR"/>
        </w:rPr>
        <w:t>« </w:t>
      </w:r>
      <w:r w:rsidRPr="008B678D">
        <w:rPr>
          <w:lang w:val="fr-FR"/>
        </w:rPr>
        <w:t>franchise des locaux techniques en toiture</w:t>
      </w:r>
      <w:r>
        <w:rPr>
          <w:lang w:val="fr-FR"/>
        </w:rPr>
        <w:t> »</w:t>
      </w:r>
      <w:r w:rsidRPr="008B678D">
        <w:rPr>
          <w:lang w:val="fr-FR"/>
        </w:rPr>
        <w:t xml:space="preserve">, on entend la surface jusqu’à concurrence de laquelle des locaux techniques en toiture peuvent être construits sans qu’ils soient à comptabiliser en tant que </w:t>
      </w:r>
      <w:r>
        <w:rPr>
          <w:lang w:val="fr-FR"/>
        </w:rPr>
        <w:t>« </w:t>
      </w:r>
      <w:r w:rsidRPr="008B678D">
        <w:rPr>
          <w:lang w:val="fr-FR"/>
        </w:rPr>
        <w:t>SCB des locaux hors sol</w:t>
      </w:r>
      <w:r>
        <w:rPr>
          <w:lang w:val="fr-FR"/>
        </w:rPr>
        <w:t> »</w:t>
      </w:r>
      <w:r w:rsidRPr="008B678D">
        <w:rPr>
          <w:lang w:val="fr-FR"/>
        </w:rPr>
        <w:t>. Au-delà de la surface indiquée dans cette franchise, la surface des locaux techniques en toiture es</w:t>
      </w:r>
      <w:r>
        <w:rPr>
          <w:lang w:val="fr-FR"/>
        </w:rPr>
        <w:t>t à comptabiliser en tant que « </w:t>
      </w:r>
      <w:r w:rsidRPr="008B678D">
        <w:rPr>
          <w:lang w:val="fr-FR"/>
        </w:rPr>
        <w:t>SCB des locaux hors-sol</w:t>
      </w:r>
      <w:r>
        <w:rPr>
          <w:lang w:val="fr-FR"/>
        </w:rPr>
        <w:t> »</w:t>
      </w:r>
      <w:r w:rsidRPr="008B678D">
        <w:rPr>
          <w:lang w:val="fr-FR"/>
        </w:rPr>
        <w:t>.</w:t>
      </w:r>
    </w:p>
    <w:p w14:paraId="2F28D89C" w14:textId="5F892CC3" w:rsidR="008B678D" w:rsidRPr="008B678D" w:rsidRDefault="008B678D" w:rsidP="008B678D">
      <w:pPr>
        <w:pStyle w:val="Heading4"/>
        <w:rPr>
          <w:lang w:val="fr-FR"/>
        </w:rPr>
      </w:pPr>
      <w:r>
        <w:rPr>
          <w:lang w:val="fr-FR"/>
        </w:rPr>
        <w:t xml:space="preserve">E.3.2.2 </w:t>
      </w:r>
      <w:r w:rsidRPr="008B678D">
        <w:rPr>
          <w:lang w:val="fr-FR"/>
        </w:rPr>
        <w:t>Les niveaux et la hauteur</w:t>
      </w:r>
    </w:p>
    <w:p w14:paraId="4D0A949D" w14:textId="398C91D7" w:rsidR="008B678D" w:rsidRPr="008B678D" w:rsidRDefault="008B678D" w:rsidP="008B678D">
      <w:pPr>
        <w:rPr>
          <w:lang w:val="fr-FR"/>
        </w:rPr>
      </w:pPr>
      <w:r w:rsidRPr="008B678D">
        <w:rPr>
          <w:lang w:val="fr-FR"/>
        </w:rPr>
        <w:t xml:space="preserve">Le plan d’occupation du sol </w:t>
      </w:r>
      <w:r>
        <w:rPr>
          <w:lang w:val="fr-FR"/>
        </w:rPr>
        <w:t>« </w:t>
      </w:r>
      <w:r w:rsidRPr="008B678D">
        <w:rPr>
          <w:lang w:val="fr-FR"/>
        </w:rPr>
        <w:t>Aéroport et environs</w:t>
      </w:r>
      <w:r>
        <w:rPr>
          <w:lang w:val="fr-FR"/>
        </w:rPr>
        <w:t> »</w:t>
      </w:r>
      <w:r w:rsidRPr="008B678D">
        <w:rPr>
          <w:lang w:val="fr-FR"/>
        </w:rPr>
        <w:t xml:space="preserve"> définit la hauteur maximale des constructions des Lots: EEL1, Lot COQUE, Lot UNI, Lot CPE.</w:t>
      </w:r>
    </w:p>
    <w:p w14:paraId="29F430DD" w14:textId="60C3BC52" w:rsidR="008B678D" w:rsidRPr="008B678D" w:rsidRDefault="008B678D" w:rsidP="008B678D">
      <w:pPr>
        <w:rPr>
          <w:lang w:val="fr-FR"/>
        </w:rPr>
      </w:pPr>
      <w:r w:rsidRPr="008B678D">
        <w:rPr>
          <w:lang w:val="fr-FR"/>
        </w:rPr>
        <w:t>Pour les lots: Lot A, Lot B, Lot C, Lot D, le nombre de niveaux et la hauteur à l’acrotère autorisés sont définis dans la partie graphique du PAP QE.</w:t>
      </w:r>
    </w:p>
    <w:p w14:paraId="1803625C" w14:textId="501C801D" w:rsidR="008B678D" w:rsidRPr="008B678D" w:rsidRDefault="008B678D" w:rsidP="008B678D">
      <w:pPr>
        <w:rPr>
          <w:lang w:val="fr-FR"/>
        </w:rPr>
      </w:pPr>
      <w:r w:rsidRPr="008B678D">
        <w:rPr>
          <w:lang w:val="fr-FR"/>
        </w:rPr>
        <w:t>Pour les lots: Lot A, Lot B, Lot C, Lot D, le niveau d’implantation du rez-de-chaussée est défini dans la partie graphique du PAP QE. Une tolérance de 50 centimètres en plus ou en moins est autorisée.</w:t>
      </w:r>
    </w:p>
    <w:p w14:paraId="54E10F41" w14:textId="77777777" w:rsidR="008B678D" w:rsidRPr="008B678D" w:rsidRDefault="008B678D" w:rsidP="008B678D">
      <w:pPr>
        <w:pStyle w:val="Heading3"/>
        <w:rPr>
          <w:lang w:val="fr-FR"/>
        </w:rPr>
      </w:pPr>
      <w:r w:rsidRPr="008B678D">
        <w:rPr>
          <w:lang w:val="fr-FR"/>
        </w:rPr>
        <w:t>E.3.3 Les dispositions pour la zone mixte urbaine centrale – [</w:t>
      </w:r>
      <w:proofErr w:type="spellStart"/>
      <w:r w:rsidRPr="008B678D">
        <w:rPr>
          <w:lang w:val="fr-FR"/>
        </w:rPr>
        <w:t>MIX-c</w:t>
      </w:r>
      <w:proofErr w:type="spellEnd"/>
      <w:r w:rsidRPr="008B678D">
        <w:rPr>
          <w:lang w:val="fr-FR"/>
        </w:rPr>
        <w:t>]</w:t>
      </w:r>
    </w:p>
    <w:p w14:paraId="5913146B" w14:textId="07512D45" w:rsidR="008B678D" w:rsidRPr="008B678D" w:rsidRDefault="008B678D" w:rsidP="008B678D">
      <w:pPr>
        <w:pStyle w:val="Heading4"/>
        <w:rPr>
          <w:lang w:val="fr-FR"/>
        </w:rPr>
      </w:pPr>
      <w:r w:rsidRPr="008B678D">
        <w:rPr>
          <w:lang w:val="fr-FR"/>
        </w:rPr>
        <w:t>E.3.3.1</w:t>
      </w:r>
      <w:r>
        <w:rPr>
          <w:lang w:val="fr-FR"/>
        </w:rPr>
        <w:t xml:space="preserve"> </w:t>
      </w:r>
      <w:r w:rsidRPr="008B678D">
        <w:rPr>
          <w:lang w:val="fr-FR"/>
        </w:rPr>
        <w:t>L’implantation, la profond</w:t>
      </w:r>
      <w:r>
        <w:rPr>
          <w:lang w:val="fr-FR"/>
        </w:rPr>
        <w:t>eur et les marges de reculement</w:t>
      </w:r>
    </w:p>
    <w:p w14:paraId="4C03249D" w14:textId="038535CA" w:rsidR="008B678D" w:rsidRPr="008B678D" w:rsidRDefault="008B678D" w:rsidP="008B678D">
      <w:pPr>
        <w:rPr>
          <w:lang w:val="fr-FR"/>
        </w:rPr>
      </w:pPr>
      <w:r w:rsidRPr="008B678D">
        <w:rPr>
          <w:lang w:val="fr-FR"/>
        </w:rPr>
        <w:t xml:space="preserve">L’implantation des constructions se fera à l’intérieur des </w:t>
      </w:r>
      <w:r w:rsidR="00567A2B">
        <w:rPr>
          <w:lang w:val="fr-FR"/>
        </w:rPr>
        <w:t>« </w:t>
      </w:r>
      <w:r w:rsidRPr="008B678D">
        <w:rPr>
          <w:lang w:val="fr-FR"/>
        </w:rPr>
        <w:t>limites de surfaces constructibles pour constructions destinées au séjour prolongé</w:t>
      </w:r>
      <w:r w:rsidR="00567A2B">
        <w:rPr>
          <w:lang w:val="fr-FR"/>
        </w:rPr>
        <w:t> »</w:t>
      </w:r>
      <w:r w:rsidRPr="008B678D">
        <w:rPr>
          <w:lang w:val="fr-FR"/>
        </w:rPr>
        <w:t xml:space="preserve">, des </w:t>
      </w:r>
      <w:r w:rsidR="00567A2B">
        <w:rPr>
          <w:lang w:val="fr-FR"/>
        </w:rPr>
        <w:t>« </w:t>
      </w:r>
      <w:r w:rsidRPr="008B678D">
        <w:rPr>
          <w:lang w:val="fr-FR"/>
        </w:rPr>
        <w:t>limites de surfaces constructibles pour constructions souterraines</w:t>
      </w:r>
      <w:r w:rsidR="00567A2B">
        <w:rPr>
          <w:lang w:val="fr-FR"/>
        </w:rPr>
        <w:t> »</w:t>
      </w:r>
      <w:r w:rsidRPr="008B678D">
        <w:rPr>
          <w:lang w:val="fr-FR"/>
        </w:rPr>
        <w:t xml:space="preserve"> et des </w:t>
      </w:r>
      <w:r w:rsidR="00567A2B">
        <w:rPr>
          <w:lang w:val="fr-FR"/>
        </w:rPr>
        <w:t>« </w:t>
      </w:r>
      <w:r w:rsidRPr="008B678D">
        <w:rPr>
          <w:lang w:val="fr-FR"/>
        </w:rPr>
        <w:t>limites de surfaces constructibles pour étage en retrait</w:t>
      </w:r>
      <w:r w:rsidR="00567A2B">
        <w:rPr>
          <w:lang w:val="fr-FR"/>
        </w:rPr>
        <w:t> »</w:t>
      </w:r>
      <w:r w:rsidRPr="008B678D">
        <w:rPr>
          <w:lang w:val="fr-FR"/>
        </w:rPr>
        <w:t>, définies dans la partie graphique du PAP QE.</w:t>
      </w:r>
    </w:p>
    <w:p w14:paraId="2FA06969" w14:textId="77777777" w:rsidR="008B678D" w:rsidRPr="008B678D" w:rsidRDefault="008B678D" w:rsidP="008B678D">
      <w:pPr>
        <w:rPr>
          <w:lang w:val="fr-FR"/>
        </w:rPr>
      </w:pPr>
      <w:r w:rsidRPr="008B678D">
        <w:rPr>
          <w:lang w:val="fr-FR"/>
        </w:rPr>
        <w:t>La profondeur des constructions est définie par la surface résultante de l’implantation maximale des constructions hors sol et en sous-sol.</w:t>
      </w:r>
    </w:p>
    <w:p w14:paraId="37F8BAD6" w14:textId="77777777" w:rsidR="008B678D" w:rsidRPr="008B678D" w:rsidRDefault="008B678D" w:rsidP="008B678D">
      <w:pPr>
        <w:rPr>
          <w:lang w:val="fr-FR"/>
        </w:rPr>
      </w:pPr>
      <w:r w:rsidRPr="008B678D">
        <w:rPr>
          <w:lang w:val="fr-FR"/>
        </w:rPr>
        <w:lastRenderedPageBreak/>
        <w:t>Les constructions peuvent être implantées avec ou sans reculs sur les limites antérieures, latérales et postérieures, tel que définis dans la partie graphique du PAP QE.</w:t>
      </w:r>
    </w:p>
    <w:p w14:paraId="4ABB1815" w14:textId="7BA294F3" w:rsidR="008B678D" w:rsidRDefault="008B678D" w:rsidP="008B678D">
      <w:pPr>
        <w:rPr>
          <w:lang w:val="fr-FR"/>
        </w:rPr>
      </w:pPr>
      <w:r w:rsidRPr="008B678D">
        <w:rPr>
          <w:lang w:val="fr-FR"/>
        </w:rPr>
        <w:t>Tableau des surfaces construites brutes (SCB) autorisées pour chaque lot</w:t>
      </w:r>
    </w:p>
    <w:tbl>
      <w:tblPr>
        <w:tblStyle w:val="TableGrid"/>
        <w:tblW w:w="8221" w:type="dxa"/>
        <w:jc w:val="center"/>
        <w:tblLook w:val="04A0" w:firstRow="1" w:lastRow="0" w:firstColumn="1" w:lastColumn="0" w:noHBand="0" w:noVBand="1"/>
      </w:tblPr>
      <w:tblGrid>
        <w:gridCol w:w="1842"/>
        <w:gridCol w:w="1843"/>
        <w:gridCol w:w="2413"/>
        <w:gridCol w:w="2123"/>
      </w:tblGrid>
      <w:tr w:rsidR="008B678D" w:rsidRPr="00567A2B" w14:paraId="22E18B61" w14:textId="77777777" w:rsidTr="00D52A95">
        <w:trPr>
          <w:jc w:val="center"/>
        </w:trPr>
        <w:tc>
          <w:tcPr>
            <w:tcW w:w="1842" w:type="dxa"/>
            <w:shd w:val="clear" w:color="auto" w:fill="D9D9D9" w:themeFill="background1" w:themeFillShade="D9"/>
            <w:vAlign w:val="center"/>
          </w:tcPr>
          <w:p w14:paraId="5104D701" w14:textId="77777777" w:rsidR="008B678D" w:rsidRPr="00567A2B" w:rsidRDefault="008B678D" w:rsidP="00D52A95">
            <w:pPr>
              <w:pStyle w:val="NormalTableau"/>
              <w:jc w:val="center"/>
            </w:pPr>
            <w:r w:rsidRPr="00567A2B">
              <w:t>Lot</w:t>
            </w:r>
          </w:p>
        </w:tc>
        <w:tc>
          <w:tcPr>
            <w:tcW w:w="1843" w:type="dxa"/>
            <w:shd w:val="clear" w:color="auto" w:fill="D9D9D9" w:themeFill="background1" w:themeFillShade="D9"/>
            <w:vAlign w:val="center"/>
          </w:tcPr>
          <w:p w14:paraId="41B92FCF" w14:textId="77777777" w:rsidR="008B678D" w:rsidRPr="00567A2B" w:rsidRDefault="008B678D" w:rsidP="00D52A95">
            <w:pPr>
              <w:pStyle w:val="NormalTableau"/>
              <w:jc w:val="center"/>
            </w:pPr>
            <w:r w:rsidRPr="00567A2B">
              <w:t>SCB des locaux hors sol (m</w:t>
            </w:r>
            <w:r w:rsidRPr="00567A2B">
              <w:rPr>
                <w:vertAlign w:val="superscript"/>
              </w:rPr>
              <w:t>2</w:t>
            </w:r>
            <w:r w:rsidRPr="00567A2B">
              <w:t>)</w:t>
            </w:r>
          </w:p>
        </w:tc>
        <w:tc>
          <w:tcPr>
            <w:tcW w:w="2413" w:type="dxa"/>
            <w:shd w:val="clear" w:color="auto" w:fill="D9D9D9" w:themeFill="background1" w:themeFillShade="D9"/>
            <w:vAlign w:val="center"/>
          </w:tcPr>
          <w:p w14:paraId="786BE7FF" w14:textId="77777777" w:rsidR="008B678D" w:rsidRPr="00567A2B" w:rsidRDefault="008B678D" w:rsidP="00D52A95">
            <w:pPr>
              <w:pStyle w:val="NormalTableau"/>
              <w:jc w:val="center"/>
            </w:pPr>
            <w:r w:rsidRPr="00567A2B">
              <w:t>SCB des franchises des locaux aménagea-bles en sous-sol (m</w:t>
            </w:r>
            <w:r w:rsidRPr="00567A2B">
              <w:rPr>
                <w:vertAlign w:val="superscript"/>
              </w:rPr>
              <w:t>2</w:t>
            </w:r>
            <w:r w:rsidRPr="00567A2B">
              <w:t>)</w:t>
            </w:r>
          </w:p>
        </w:tc>
        <w:tc>
          <w:tcPr>
            <w:tcW w:w="2123" w:type="dxa"/>
            <w:shd w:val="clear" w:color="auto" w:fill="D9D9D9" w:themeFill="background1" w:themeFillShade="D9"/>
            <w:vAlign w:val="center"/>
          </w:tcPr>
          <w:p w14:paraId="5EB00CA2" w14:textId="77777777" w:rsidR="008B678D" w:rsidRPr="00567A2B" w:rsidRDefault="008B678D" w:rsidP="00D52A95">
            <w:pPr>
              <w:pStyle w:val="NormalTableau"/>
              <w:jc w:val="center"/>
            </w:pPr>
            <w:r w:rsidRPr="00567A2B">
              <w:t>SCB des franchises des locaux techni-ques en toiture (m</w:t>
            </w:r>
            <w:r w:rsidRPr="00567A2B">
              <w:rPr>
                <w:vertAlign w:val="superscript"/>
              </w:rPr>
              <w:t>2</w:t>
            </w:r>
            <w:r w:rsidRPr="00567A2B">
              <w:t>)</w:t>
            </w:r>
          </w:p>
        </w:tc>
      </w:tr>
      <w:tr w:rsidR="008B678D" w:rsidRPr="00567A2B" w14:paraId="5F479A87" w14:textId="77777777" w:rsidTr="00D52A95">
        <w:trPr>
          <w:jc w:val="center"/>
        </w:trPr>
        <w:tc>
          <w:tcPr>
            <w:tcW w:w="1842" w:type="dxa"/>
            <w:vAlign w:val="center"/>
          </w:tcPr>
          <w:p w14:paraId="41ACCAA0" w14:textId="77777777" w:rsidR="008B678D" w:rsidRPr="00567A2B" w:rsidRDefault="008B678D" w:rsidP="00D52A95">
            <w:pPr>
              <w:pStyle w:val="NormalTableau"/>
              <w:jc w:val="center"/>
            </w:pPr>
            <w:r w:rsidRPr="00567A2B">
              <w:t>Lot K2 Bloc K2A1 et K2A2</w:t>
            </w:r>
          </w:p>
        </w:tc>
        <w:tc>
          <w:tcPr>
            <w:tcW w:w="1843" w:type="dxa"/>
            <w:vAlign w:val="center"/>
          </w:tcPr>
          <w:p w14:paraId="1CE6336B" w14:textId="77777777" w:rsidR="008B678D" w:rsidRPr="00567A2B" w:rsidRDefault="008B678D" w:rsidP="00D52A95">
            <w:pPr>
              <w:pStyle w:val="NormalTableau"/>
              <w:jc w:val="center"/>
            </w:pPr>
            <w:r w:rsidRPr="00567A2B">
              <w:t>11 211</w:t>
            </w:r>
          </w:p>
        </w:tc>
        <w:tc>
          <w:tcPr>
            <w:tcW w:w="2413" w:type="dxa"/>
            <w:vAlign w:val="center"/>
          </w:tcPr>
          <w:p w14:paraId="464F5ACD" w14:textId="77777777" w:rsidR="008B678D" w:rsidRPr="00567A2B" w:rsidRDefault="008B678D" w:rsidP="00D52A95">
            <w:pPr>
              <w:pStyle w:val="NormalTableau"/>
              <w:jc w:val="center"/>
            </w:pPr>
            <w:r w:rsidRPr="00567A2B">
              <w:t>280</w:t>
            </w:r>
          </w:p>
        </w:tc>
        <w:tc>
          <w:tcPr>
            <w:tcW w:w="2123" w:type="dxa"/>
            <w:vAlign w:val="center"/>
          </w:tcPr>
          <w:p w14:paraId="6D5B3686" w14:textId="77777777" w:rsidR="008B678D" w:rsidRPr="00567A2B" w:rsidRDefault="008B678D" w:rsidP="00D52A95">
            <w:pPr>
              <w:pStyle w:val="NormalTableau"/>
              <w:jc w:val="center"/>
            </w:pPr>
            <w:r w:rsidRPr="00567A2B">
              <w:t>280</w:t>
            </w:r>
          </w:p>
        </w:tc>
      </w:tr>
      <w:tr w:rsidR="008B678D" w:rsidRPr="00567A2B" w14:paraId="55282652" w14:textId="77777777" w:rsidTr="00D52A95">
        <w:trPr>
          <w:jc w:val="center"/>
        </w:trPr>
        <w:tc>
          <w:tcPr>
            <w:tcW w:w="1842" w:type="dxa"/>
            <w:vAlign w:val="center"/>
          </w:tcPr>
          <w:p w14:paraId="590023F4" w14:textId="77777777" w:rsidR="008B678D" w:rsidRPr="00567A2B" w:rsidRDefault="008B678D" w:rsidP="00D52A95">
            <w:pPr>
              <w:pStyle w:val="NormalTableau"/>
              <w:jc w:val="center"/>
            </w:pPr>
            <w:r w:rsidRPr="00567A2B">
              <w:t>Lot K2 Bloc K2B1 et K2B2</w:t>
            </w:r>
          </w:p>
        </w:tc>
        <w:tc>
          <w:tcPr>
            <w:tcW w:w="1843" w:type="dxa"/>
            <w:vAlign w:val="center"/>
          </w:tcPr>
          <w:p w14:paraId="75702B98" w14:textId="77777777" w:rsidR="008B678D" w:rsidRPr="00567A2B" w:rsidRDefault="008B678D" w:rsidP="00D52A95">
            <w:pPr>
              <w:pStyle w:val="NormalTableau"/>
              <w:jc w:val="center"/>
            </w:pPr>
            <w:r w:rsidRPr="00567A2B">
              <w:t>7 710</w:t>
            </w:r>
          </w:p>
        </w:tc>
        <w:tc>
          <w:tcPr>
            <w:tcW w:w="2413" w:type="dxa"/>
            <w:vAlign w:val="center"/>
          </w:tcPr>
          <w:p w14:paraId="6B454BE5" w14:textId="77777777" w:rsidR="008B678D" w:rsidRPr="00567A2B" w:rsidRDefault="008B678D" w:rsidP="00D52A95">
            <w:pPr>
              <w:pStyle w:val="NormalTableau"/>
              <w:jc w:val="center"/>
            </w:pPr>
            <w:r w:rsidRPr="00567A2B">
              <w:t>193</w:t>
            </w:r>
          </w:p>
        </w:tc>
        <w:tc>
          <w:tcPr>
            <w:tcW w:w="2123" w:type="dxa"/>
            <w:vAlign w:val="center"/>
          </w:tcPr>
          <w:p w14:paraId="5C7D7CC3" w14:textId="77777777" w:rsidR="008B678D" w:rsidRPr="00567A2B" w:rsidRDefault="008B678D" w:rsidP="00D52A95">
            <w:pPr>
              <w:pStyle w:val="NormalTableau"/>
              <w:jc w:val="center"/>
            </w:pPr>
            <w:r w:rsidRPr="00567A2B">
              <w:t>193</w:t>
            </w:r>
          </w:p>
        </w:tc>
      </w:tr>
      <w:tr w:rsidR="008B678D" w:rsidRPr="00567A2B" w14:paraId="0D3257BF" w14:textId="77777777" w:rsidTr="00D52A95">
        <w:trPr>
          <w:jc w:val="center"/>
        </w:trPr>
        <w:tc>
          <w:tcPr>
            <w:tcW w:w="1842" w:type="dxa"/>
            <w:vAlign w:val="center"/>
          </w:tcPr>
          <w:p w14:paraId="0052FDB2" w14:textId="77777777" w:rsidR="008B678D" w:rsidRPr="00567A2B" w:rsidRDefault="008B678D" w:rsidP="00D52A95">
            <w:pPr>
              <w:pStyle w:val="NormalTableau"/>
              <w:jc w:val="center"/>
            </w:pPr>
            <w:r w:rsidRPr="00567A2B">
              <w:t>Lot K2 Bloc K2C1 et K2C2</w:t>
            </w:r>
          </w:p>
        </w:tc>
        <w:tc>
          <w:tcPr>
            <w:tcW w:w="1843" w:type="dxa"/>
            <w:vAlign w:val="center"/>
          </w:tcPr>
          <w:p w14:paraId="0ADB4A58" w14:textId="77777777" w:rsidR="008B678D" w:rsidRPr="00567A2B" w:rsidRDefault="008B678D" w:rsidP="00D52A95">
            <w:pPr>
              <w:pStyle w:val="NormalTableau"/>
              <w:jc w:val="center"/>
            </w:pPr>
            <w:r w:rsidRPr="00567A2B">
              <w:t>10 472</w:t>
            </w:r>
          </w:p>
        </w:tc>
        <w:tc>
          <w:tcPr>
            <w:tcW w:w="2413" w:type="dxa"/>
            <w:vAlign w:val="center"/>
          </w:tcPr>
          <w:p w14:paraId="19BFB9AF" w14:textId="77777777" w:rsidR="008B678D" w:rsidRPr="00567A2B" w:rsidRDefault="008B678D" w:rsidP="00D52A95">
            <w:pPr>
              <w:pStyle w:val="NormalTableau"/>
              <w:jc w:val="center"/>
            </w:pPr>
            <w:r w:rsidRPr="00567A2B">
              <w:t>262</w:t>
            </w:r>
          </w:p>
        </w:tc>
        <w:tc>
          <w:tcPr>
            <w:tcW w:w="2123" w:type="dxa"/>
            <w:vAlign w:val="center"/>
          </w:tcPr>
          <w:p w14:paraId="6B433AC4" w14:textId="77777777" w:rsidR="008B678D" w:rsidRPr="00567A2B" w:rsidRDefault="008B678D" w:rsidP="00D52A95">
            <w:pPr>
              <w:pStyle w:val="NormalTableau"/>
              <w:jc w:val="center"/>
            </w:pPr>
            <w:r w:rsidRPr="00567A2B">
              <w:t>262</w:t>
            </w:r>
          </w:p>
        </w:tc>
      </w:tr>
      <w:tr w:rsidR="008B678D" w:rsidRPr="00567A2B" w14:paraId="4A2811E2" w14:textId="77777777" w:rsidTr="00D52A95">
        <w:trPr>
          <w:jc w:val="center"/>
        </w:trPr>
        <w:tc>
          <w:tcPr>
            <w:tcW w:w="1842" w:type="dxa"/>
            <w:vAlign w:val="center"/>
          </w:tcPr>
          <w:p w14:paraId="5F5CF0DC" w14:textId="77777777" w:rsidR="008B678D" w:rsidRPr="00567A2B" w:rsidRDefault="008B678D" w:rsidP="00D52A95">
            <w:pPr>
              <w:pStyle w:val="NormalTableau"/>
              <w:jc w:val="center"/>
            </w:pPr>
            <w:r w:rsidRPr="00567A2B">
              <w:t>Lot K2 Bloc K2D1 et K2D2</w:t>
            </w:r>
          </w:p>
        </w:tc>
        <w:tc>
          <w:tcPr>
            <w:tcW w:w="1843" w:type="dxa"/>
            <w:vAlign w:val="center"/>
          </w:tcPr>
          <w:p w14:paraId="0B9103CA" w14:textId="77777777" w:rsidR="008B678D" w:rsidRPr="00567A2B" w:rsidRDefault="008B678D" w:rsidP="00D52A95">
            <w:pPr>
              <w:pStyle w:val="NormalTableau"/>
              <w:jc w:val="center"/>
            </w:pPr>
            <w:r w:rsidRPr="00567A2B">
              <w:t>7 933</w:t>
            </w:r>
          </w:p>
        </w:tc>
        <w:tc>
          <w:tcPr>
            <w:tcW w:w="2413" w:type="dxa"/>
            <w:vAlign w:val="center"/>
          </w:tcPr>
          <w:p w14:paraId="554B0405" w14:textId="77777777" w:rsidR="008B678D" w:rsidRPr="00567A2B" w:rsidRDefault="008B678D" w:rsidP="00D52A95">
            <w:pPr>
              <w:pStyle w:val="NormalTableau"/>
              <w:jc w:val="center"/>
            </w:pPr>
            <w:r w:rsidRPr="00567A2B">
              <w:t>198</w:t>
            </w:r>
          </w:p>
        </w:tc>
        <w:tc>
          <w:tcPr>
            <w:tcW w:w="2123" w:type="dxa"/>
            <w:vAlign w:val="center"/>
          </w:tcPr>
          <w:p w14:paraId="39E61107" w14:textId="77777777" w:rsidR="008B678D" w:rsidRPr="00567A2B" w:rsidRDefault="008B678D" w:rsidP="00D52A95">
            <w:pPr>
              <w:pStyle w:val="NormalTableau"/>
              <w:jc w:val="center"/>
            </w:pPr>
            <w:r w:rsidRPr="00567A2B">
              <w:t>198</w:t>
            </w:r>
          </w:p>
        </w:tc>
      </w:tr>
      <w:tr w:rsidR="008B678D" w:rsidRPr="00567A2B" w14:paraId="47970E7E" w14:textId="77777777" w:rsidTr="00D52A95">
        <w:trPr>
          <w:jc w:val="center"/>
        </w:trPr>
        <w:tc>
          <w:tcPr>
            <w:tcW w:w="1842" w:type="dxa"/>
            <w:vAlign w:val="center"/>
          </w:tcPr>
          <w:p w14:paraId="7E42EADB" w14:textId="77777777" w:rsidR="008B678D" w:rsidRPr="00567A2B" w:rsidRDefault="008B678D" w:rsidP="00D52A95">
            <w:pPr>
              <w:pStyle w:val="NormalTableau"/>
              <w:jc w:val="center"/>
            </w:pPr>
            <w:r w:rsidRPr="00567A2B">
              <w:t>Lot K2 Bloc K2E</w:t>
            </w:r>
          </w:p>
        </w:tc>
        <w:tc>
          <w:tcPr>
            <w:tcW w:w="1843" w:type="dxa"/>
            <w:vAlign w:val="center"/>
          </w:tcPr>
          <w:p w14:paraId="6838D901" w14:textId="77777777" w:rsidR="008B678D" w:rsidRPr="00567A2B" w:rsidRDefault="008B678D" w:rsidP="00D52A95">
            <w:pPr>
              <w:pStyle w:val="NormalTableau"/>
              <w:jc w:val="center"/>
            </w:pPr>
            <w:r w:rsidRPr="00567A2B">
              <w:t>8 681</w:t>
            </w:r>
          </w:p>
        </w:tc>
        <w:tc>
          <w:tcPr>
            <w:tcW w:w="2413" w:type="dxa"/>
            <w:vAlign w:val="center"/>
          </w:tcPr>
          <w:p w14:paraId="67E9E888" w14:textId="77777777" w:rsidR="008B678D" w:rsidRPr="00567A2B" w:rsidRDefault="008B678D" w:rsidP="00D52A95">
            <w:pPr>
              <w:pStyle w:val="NormalTableau"/>
              <w:jc w:val="center"/>
            </w:pPr>
            <w:r w:rsidRPr="00567A2B">
              <w:t>217</w:t>
            </w:r>
          </w:p>
        </w:tc>
        <w:tc>
          <w:tcPr>
            <w:tcW w:w="2123" w:type="dxa"/>
            <w:vAlign w:val="center"/>
          </w:tcPr>
          <w:p w14:paraId="138A9C33" w14:textId="77777777" w:rsidR="008B678D" w:rsidRPr="00567A2B" w:rsidRDefault="008B678D" w:rsidP="00D52A95">
            <w:pPr>
              <w:pStyle w:val="NormalTableau"/>
              <w:jc w:val="center"/>
            </w:pPr>
            <w:r w:rsidRPr="00567A2B">
              <w:t>217</w:t>
            </w:r>
          </w:p>
        </w:tc>
      </w:tr>
      <w:tr w:rsidR="008B678D" w:rsidRPr="00567A2B" w14:paraId="1CB5FCD6" w14:textId="77777777" w:rsidTr="00D52A95">
        <w:trPr>
          <w:jc w:val="center"/>
        </w:trPr>
        <w:tc>
          <w:tcPr>
            <w:tcW w:w="1842" w:type="dxa"/>
            <w:vAlign w:val="center"/>
          </w:tcPr>
          <w:p w14:paraId="0913D9EF" w14:textId="77777777" w:rsidR="008B678D" w:rsidRPr="00567A2B" w:rsidRDefault="008B678D" w:rsidP="00D52A95">
            <w:pPr>
              <w:pStyle w:val="NormalTableau"/>
              <w:jc w:val="center"/>
            </w:pPr>
            <w:r w:rsidRPr="00567A2B">
              <w:t>Lot K2 Bloc K2F1 et K2F2</w:t>
            </w:r>
          </w:p>
        </w:tc>
        <w:tc>
          <w:tcPr>
            <w:tcW w:w="1843" w:type="dxa"/>
            <w:vAlign w:val="center"/>
          </w:tcPr>
          <w:p w14:paraId="599C575A" w14:textId="77777777" w:rsidR="008B678D" w:rsidRPr="00567A2B" w:rsidRDefault="008B678D" w:rsidP="00D52A95">
            <w:pPr>
              <w:pStyle w:val="NormalTableau"/>
              <w:jc w:val="center"/>
            </w:pPr>
            <w:r w:rsidRPr="00567A2B">
              <w:t>7 499</w:t>
            </w:r>
          </w:p>
        </w:tc>
        <w:tc>
          <w:tcPr>
            <w:tcW w:w="2413" w:type="dxa"/>
            <w:vAlign w:val="center"/>
          </w:tcPr>
          <w:p w14:paraId="5DCFF401" w14:textId="77777777" w:rsidR="008B678D" w:rsidRPr="00567A2B" w:rsidRDefault="008B678D" w:rsidP="00D52A95">
            <w:pPr>
              <w:pStyle w:val="NormalTableau"/>
              <w:jc w:val="center"/>
            </w:pPr>
            <w:r w:rsidRPr="00567A2B">
              <w:t>187</w:t>
            </w:r>
          </w:p>
        </w:tc>
        <w:tc>
          <w:tcPr>
            <w:tcW w:w="2123" w:type="dxa"/>
            <w:vAlign w:val="center"/>
          </w:tcPr>
          <w:p w14:paraId="0DD0C22D" w14:textId="77777777" w:rsidR="008B678D" w:rsidRPr="00567A2B" w:rsidRDefault="008B678D" w:rsidP="00D52A95">
            <w:pPr>
              <w:pStyle w:val="NormalTableau"/>
              <w:jc w:val="center"/>
            </w:pPr>
            <w:r w:rsidRPr="00567A2B">
              <w:t>187</w:t>
            </w:r>
          </w:p>
        </w:tc>
      </w:tr>
      <w:tr w:rsidR="008B678D" w:rsidRPr="00567A2B" w14:paraId="1A0D8F1C" w14:textId="77777777" w:rsidTr="00D52A95">
        <w:trPr>
          <w:jc w:val="center"/>
        </w:trPr>
        <w:tc>
          <w:tcPr>
            <w:tcW w:w="1842" w:type="dxa"/>
            <w:vAlign w:val="center"/>
          </w:tcPr>
          <w:p w14:paraId="0CB151F8" w14:textId="77777777" w:rsidR="008B678D" w:rsidRPr="00567A2B" w:rsidRDefault="008B678D" w:rsidP="00D52A95">
            <w:pPr>
              <w:pStyle w:val="NormalTableau"/>
              <w:jc w:val="center"/>
            </w:pPr>
            <w:r w:rsidRPr="00567A2B">
              <w:t>Lot Ernst &amp; Young</w:t>
            </w:r>
          </w:p>
        </w:tc>
        <w:tc>
          <w:tcPr>
            <w:tcW w:w="1843" w:type="dxa"/>
            <w:vAlign w:val="center"/>
          </w:tcPr>
          <w:p w14:paraId="09A261BA" w14:textId="77777777" w:rsidR="008B678D" w:rsidRPr="00567A2B" w:rsidRDefault="008B678D" w:rsidP="00D52A95">
            <w:pPr>
              <w:pStyle w:val="NormalTableau"/>
              <w:jc w:val="center"/>
            </w:pPr>
            <w:r w:rsidRPr="00567A2B">
              <w:t>20 262</w:t>
            </w:r>
          </w:p>
        </w:tc>
        <w:tc>
          <w:tcPr>
            <w:tcW w:w="2413" w:type="dxa"/>
            <w:vAlign w:val="center"/>
          </w:tcPr>
          <w:p w14:paraId="358BCCC0" w14:textId="77777777" w:rsidR="008B678D" w:rsidRPr="00567A2B" w:rsidRDefault="008B678D" w:rsidP="00D52A95">
            <w:pPr>
              <w:pStyle w:val="NormalTableau"/>
              <w:jc w:val="center"/>
            </w:pPr>
            <w:r w:rsidRPr="00567A2B">
              <w:t>507</w:t>
            </w:r>
          </w:p>
        </w:tc>
        <w:tc>
          <w:tcPr>
            <w:tcW w:w="2123" w:type="dxa"/>
            <w:vAlign w:val="center"/>
          </w:tcPr>
          <w:p w14:paraId="4F3AB3B9" w14:textId="77777777" w:rsidR="008B678D" w:rsidRPr="00567A2B" w:rsidRDefault="008B678D" w:rsidP="00D52A95">
            <w:pPr>
              <w:pStyle w:val="NormalTableau"/>
              <w:jc w:val="center"/>
            </w:pPr>
            <w:r w:rsidRPr="00567A2B">
              <w:t>507</w:t>
            </w:r>
          </w:p>
        </w:tc>
      </w:tr>
      <w:tr w:rsidR="008B678D" w:rsidRPr="00567A2B" w14:paraId="6EEA39C5" w14:textId="77777777" w:rsidTr="00D52A95">
        <w:trPr>
          <w:jc w:val="center"/>
        </w:trPr>
        <w:tc>
          <w:tcPr>
            <w:tcW w:w="1842" w:type="dxa"/>
            <w:vAlign w:val="center"/>
          </w:tcPr>
          <w:p w14:paraId="1537E2EA" w14:textId="77777777" w:rsidR="008B678D" w:rsidRPr="00567A2B" w:rsidRDefault="008B678D" w:rsidP="00D52A95">
            <w:pPr>
              <w:pStyle w:val="NormalTableau"/>
              <w:jc w:val="center"/>
            </w:pPr>
            <w:r w:rsidRPr="00567A2B">
              <w:t>Lot Président</w:t>
            </w:r>
          </w:p>
        </w:tc>
        <w:tc>
          <w:tcPr>
            <w:tcW w:w="1843" w:type="dxa"/>
            <w:vAlign w:val="center"/>
          </w:tcPr>
          <w:p w14:paraId="1C08F843" w14:textId="77777777" w:rsidR="008B678D" w:rsidRPr="00567A2B" w:rsidRDefault="008B678D" w:rsidP="00D52A95">
            <w:pPr>
              <w:pStyle w:val="NormalTableau"/>
              <w:jc w:val="center"/>
            </w:pPr>
            <w:r w:rsidRPr="00567A2B">
              <w:t>29 746</w:t>
            </w:r>
          </w:p>
        </w:tc>
        <w:tc>
          <w:tcPr>
            <w:tcW w:w="2413" w:type="dxa"/>
            <w:vAlign w:val="center"/>
          </w:tcPr>
          <w:p w14:paraId="1F28E03C" w14:textId="77777777" w:rsidR="008B678D" w:rsidRPr="00567A2B" w:rsidRDefault="008B678D" w:rsidP="00D52A95">
            <w:pPr>
              <w:pStyle w:val="NormalTableau"/>
              <w:jc w:val="center"/>
            </w:pPr>
            <w:r w:rsidRPr="00567A2B">
              <w:t>744</w:t>
            </w:r>
          </w:p>
        </w:tc>
        <w:tc>
          <w:tcPr>
            <w:tcW w:w="2123" w:type="dxa"/>
            <w:vAlign w:val="center"/>
          </w:tcPr>
          <w:p w14:paraId="7E2F129E" w14:textId="77777777" w:rsidR="008B678D" w:rsidRPr="00567A2B" w:rsidRDefault="008B678D" w:rsidP="00D52A95">
            <w:pPr>
              <w:pStyle w:val="NormalTableau"/>
              <w:jc w:val="center"/>
            </w:pPr>
            <w:r w:rsidRPr="00567A2B">
              <w:t>744</w:t>
            </w:r>
          </w:p>
        </w:tc>
      </w:tr>
    </w:tbl>
    <w:p w14:paraId="2739221E" w14:textId="2AB73CDE" w:rsidR="008B678D" w:rsidRDefault="008B678D" w:rsidP="008B678D">
      <w:pPr>
        <w:rPr>
          <w:lang w:val="fr-FR"/>
        </w:rPr>
      </w:pPr>
    </w:p>
    <w:p w14:paraId="720DD5C7" w14:textId="7FED0EA0" w:rsidR="008B678D" w:rsidRPr="008B678D" w:rsidRDefault="008B678D" w:rsidP="008B678D">
      <w:pPr>
        <w:rPr>
          <w:lang w:val="fr-FR"/>
        </w:rPr>
      </w:pPr>
      <w:r w:rsidRPr="008B678D">
        <w:rPr>
          <w:lang w:val="fr-FR"/>
        </w:rPr>
        <w:t>Les franchises des locaux aménageables en sous-sol et des locaux techniques en toiture ne s’appliquent qu’en cas de démolition/reconstruction du bâtiment.</w:t>
      </w:r>
    </w:p>
    <w:p w14:paraId="17CF2DCE" w14:textId="7A09BDEE" w:rsidR="008B678D" w:rsidRPr="008B678D" w:rsidRDefault="008B678D" w:rsidP="008B678D">
      <w:pPr>
        <w:rPr>
          <w:lang w:val="fr-FR"/>
        </w:rPr>
      </w:pPr>
      <w:r w:rsidRPr="008B678D">
        <w:rPr>
          <w:lang w:val="fr-FR"/>
        </w:rPr>
        <w:t xml:space="preserve">Par </w:t>
      </w:r>
      <w:r w:rsidR="00567A2B">
        <w:rPr>
          <w:lang w:val="fr-FR"/>
        </w:rPr>
        <w:t>« </w:t>
      </w:r>
      <w:r w:rsidRPr="008B678D">
        <w:rPr>
          <w:lang w:val="fr-FR"/>
        </w:rPr>
        <w:t>franchise des locaux aménageables en sous-sol</w:t>
      </w:r>
      <w:r w:rsidR="00567A2B">
        <w:rPr>
          <w:lang w:val="fr-FR"/>
        </w:rPr>
        <w:t> »</w:t>
      </w:r>
      <w:r w:rsidRPr="008B678D">
        <w:rPr>
          <w:lang w:val="fr-FR"/>
        </w:rPr>
        <w:t xml:space="preserve">, on entend la surface jusqu’à concurrence de laquelle des locaux aménageables en sous-sol peuvent être construits sans qu’ils soient à comptabiliser en tant que </w:t>
      </w:r>
      <w:r w:rsidR="00567A2B">
        <w:rPr>
          <w:lang w:val="fr-FR"/>
        </w:rPr>
        <w:t>« </w:t>
      </w:r>
      <w:r w:rsidRPr="008B678D">
        <w:rPr>
          <w:lang w:val="fr-FR"/>
        </w:rPr>
        <w:t>SCB des locaux hors sol</w:t>
      </w:r>
      <w:r w:rsidR="00567A2B">
        <w:rPr>
          <w:lang w:val="fr-FR"/>
        </w:rPr>
        <w:t> »</w:t>
      </w:r>
      <w:r w:rsidRPr="008B678D">
        <w:rPr>
          <w:lang w:val="fr-FR"/>
        </w:rPr>
        <w:t xml:space="preserve">. Au-delà de la surface indiquée dans cette franchise, la surface des locaux aménageables en sous-sol est à comptabiliser en tant que </w:t>
      </w:r>
      <w:r w:rsidR="00567A2B">
        <w:rPr>
          <w:lang w:val="fr-FR"/>
        </w:rPr>
        <w:t>« </w:t>
      </w:r>
      <w:r w:rsidRPr="008B678D">
        <w:rPr>
          <w:lang w:val="fr-FR"/>
        </w:rPr>
        <w:t>SCB des locaux hors-sol</w:t>
      </w:r>
      <w:r w:rsidR="00567A2B">
        <w:rPr>
          <w:lang w:val="fr-FR"/>
        </w:rPr>
        <w:t> »</w:t>
      </w:r>
      <w:r w:rsidRPr="008B678D">
        <w:rPr>
          <w:lang w:val="fr-FR"/>
        </w:rPr>
        <w:t>.</w:t>
      </w:r>
    </w:p>
    <w:p w14:paraId="021CEAB7" w14:textId="5668E2AA" w:rsidR="008B678D" w:rsidRPr="008B678D" w:rsidRDefault="00567A2B" w:rsidP="008B678D">
      <w:pPr>
        <w:rPr>
          <w:lang w:val="fr-FR"/>
        </w:rPr>
      </w:pPr>
      <w:r>
        <w:rPr>
          <w:lang w:val="fr-FR"/>
        </w:rPr>
        <w:t>Par « </w:t>
      </w:r>
      <w:r w:rsidR="008B678D" w:rsidRPr="008B678D">
        <w:rPr>
          <w:lang w:val="fr-FR"/>
        </w:rPr>
        <w:t>franchise des locaux techniques en toiture</w:t>
      </w:r>
      <w:r>
        <w:rPr>
          <w:lang w:val="fr-FR"/>
        </w:rPr>
        <w:t> »</w:t>
      </w:r>
      <w:r w:rsidR="008B678D" w:rsidRPr="008B678D">
        <w:rPr>
          <w:lang w:val="fr-FR"/>
        </w:rPr>
        <w:t xml:space="preserve">, on entend la surface jusqu’à concurrence de laquelle des locaux techniques en toiture peuvent être construits sans qu’ils soient à comptabiliser en tant que </w:t>
      </w:r>
      <w:r>
        <w:rPr>
          <w:lang w:val="fr-FR"/>
        </w:rPr>
        <w:t>« </w:t>
      </w:r>
      <w:r w:rsidR="008B678D" w:rsidRPr="008B678D">
        <w:rPr>
          <w:lang w:val="fr-FR"/>
        </w:rPr>
        <w:t>SCB des locaux hors sol</w:t>
      </w:r>
      <w:r>
        <w:rPr>
          <w:lang w:val="fr-FR"/>
        </w:rPr>
        <w:t> »</w:t>
      </w:r>
      <w:r w:rsidR="008B678D" w:rsidRPr="008B678D">
        <w:rPr>
          <w:lang w:val="fr-FR"/>
        </w:rPr>
        <w:t>. Au-delà de la surface indiquée dans cette franchise, la surface d</w:t>
      </w:r>
      <w:r>
        <w:rPr>
          <w:lang w:val="fr-FR"/>
        </w:rPr>
        <w:t>es locaux techniques en toiture</w:t>
      </w:r>
      <w:r w:rsidR="008B678D" w:rsidRPr="008B678D">
        <w:rPr>
          <w:lang w:val="fr-FR"/>
        </w:rPr>
        <w:t xml:space="preserve"> est à comptabiliser en tant que </w:t>
      </w:r>
      <w:r>
        <w:rPr>
          <w:lang w:val="fr-FR"/>
        </w:rPr>
        <w:t>« </w:t>
      </w:r>
      <w:r w:rsidR="008B678D" w:rsidRPr="008B678D">
        <w:rPr>
          <w:lang w:val="fr-FR"/>
        </w:rPr>
        <w:t>SCB des locaux hors-sol</w:t>
      </w:r>
      <w:r>
        <w:rPr>
          <w:lang w:val="fr-FR"/>
        </w:rPr>
        <w:t> »</w:t>
      </w:r>
      <w:r w:rsidR="008B678D" w:rsidRPr="008B678D">
        <w:rPr>
          <w:lang w:val="fr-FR"/>
        </w:rPr>
        <w:t>.</w:t>
      </w:r>
    </w:p>
    <w:p w14:paraId="2A652EC5" w14:textId="3B1C3B32" w:rsidR="008B678D" w:rsidRPr="008B678D" w:rsidRDefault="00567A2B" w:rsidP="00567A2B">
      <w:pPr>
        <w:pStyle w:val="Heading4"/>
        <w:rPr>
          <w:lang w:val="fr-FR"/>
        </w:rPr>
      </w:pPr>
      <w:r>
        <w:rPr>
          <w:lang w:val="fr-FR"/>
        </w:rPr>
        <w:t xml:space="preserve">E.3.3.2 </w:t>
      </w:r>
      <w:r w:rsidR="008B678D" w:rsidRPr="008B678D">
        <w:rPr>
          <w:lang w:val="fr-FR"/>
        </w:rPr>
        <w:t>Les niveaux et la hauteur</w:t>
      </w:r>
    </w:p>
    <w:p w14:paraId="06C00F91" w14:textId="77777777" w:rsidR="008B678D" w:rsidRPr="008B678D" w:rsidRDefault="008B678D" w:rsidP="008B678D">
      <w:pPr>
        <w:rPr>
          <w:lang w:val="fr-FR"/>
        </w:rPr>
      </w:pPr>
      <w:r w:rsidRPr="008B678D">
        <w:rPr>
          <w:lang w:val="fr-FR"/>
        </w:rPr>
        <w:t>Le nombre de niveaux et la hauteur à l’acrotère autorisés sont définis dans la partie graphique du PAP QE.</w:t>
      </w:r>
    </w:p>
    <w:p w14:paraId="1121E98C" w14:textId="77777777" w:rsidR="008B678D" w:rsidRPr="008B678D" w:rsidRDefault="008B678D" w:rsidP="00567A2B">
      <w:pPr>
        <w:pStyle w:val="Heading3"/>
        <w:rPr>
          <w:lang w:val="fr-FR"/>
        </w:rPr>
      </w:pPr>
      <w:r w:rsidRPr="008B678D">
        <w:rPr>
          <w:lang w:val="fr-FR"/>
        </w:rPr>
        <w:t>E.3.4 Les dispositions pour le secteur des bâtiments et d’équipements publics – [BEP]</w:t>
      </w:r>
    </w:p>
    <w:p w14:paraId="5D09585B" w14:textId="6D3C018B" w:rsidR="008B678D" w:rsidRPr="008B678D" w:rsidRDefault="00567A2B" w:rsidP="00567A2B">
      <w:pPr>
        <w:pStyle w:val="Heading4"/>
        <w:rPr>
          <w:lang w:val="fr-FR"/>
        </w:rPr>
      </w:pPr>
      <w:r>
        <w:rPr>
          <w:lang w:val="fr-FR"/>
        </w:rPr>
        <w:t xml:space="preserve">E.3.4.1 </w:t>
      </w:r>
      <w:r w:rsidR="008B678D" w:rsidRPr="008B678D">
        <w:rPr>
          <w:lang w:val="fr-FR"/>
        </w:rPr>
        <w:t>L’implantation, la profondeur et les marges de reculement</w:t>
      </w:r>
    </w:p>
    <w:p w14:paraId="4A8F7340" w14:textId="77777777" w:rsidR="008B678D" w:rsidRPr="008B678D" w:rsidRDefault="008B678D" w:rsidP="008B678D">
      <w:pPr>
        <w:rPr>
          <w:lang w:val="fr-FR"/>
        </w:rPr>
      </w:pPr>
      <w:r w:rsidRPr="008B678D">
        <w:rPr>
          <w:lang w:val="fr-FR"/>
        </w:rPr>
        <w:t>L’implantation des constructions se fera à l’intérieur des « limites de surfaces constructibles pour constructions destinées au séjour prolongé », définies dans la partie graphique du PAP QE.</w:t>
      </w:r>
    </w:p>
    <w:p w14:paraId="7C453011" w14:textId="77777777" w:rsidR="008B678D" w:rsidRPr="008B678D" w:rsidRDefault="008B678D" w:rsidP="008B678D">
      <w:pPr>
        <w:rPr>
          <w:lang w:val="fr-FR"/>
        </w:rPr>
      </w:pPr>
      <w:r w:rsidRPr="008B678D">
        <w:rPr>
          <w:lang w:val="fr-FR"/>
        </w:rPr>
        <w:t>La profondeur des constructions est définie par la surface résultante de l’implantation maximale des constructions hors sol et en sous-sol.</w:t>
      </w:r>
    </w:p>
    <w:p w14:paraId="055209DE" w14:textId="77777777" w:rsidR="008B678D" w:rsidRPr="008B678D" w:rsidRDefault="008B678D" w:rsidP="008B678D">
      <w:pPr>
        <w:rPr>
          <w:lang w:val="fr-FR"/>
        </w:rPr>
      </w:pPr>
      <w:r w:rsidRPr="008B678D">
        <w:rPr>
          <w:lang w:val="fr-FR"/>
        </w:rPr>
        <w:lastRenderedPageBreak/>
        <w:t>Les constructions peuvent être implantées avec ou sans reculs sur les limites antérieures, latérales et postérieures, tel que définis dans la partie graphique du PAP QE.</w:t>
      </w:r>
    </w:p>
    <w:p w14:paraId="52A6E5B1" w14:textId="456BA639" w:rsidR="008B678D" w:rsidRDefault="008B678D" w:rsidP="008B678D">
      <w:pPr>
        <w:rPr>
          <w:lang w:val="fr-FR"/>
        </w:rPr>
      </w:pPr>
      <w:r w:rsidRPr="008B678D">
        <w:rPr>
          <w:lang w:val="fr-FR"/>
        </w:rPr>
        <w:t>Tableau des surfaces construites brutes (SCB) autorisées pour chaque lot</w:t>
      </w:r>
    </w:p>
    <w:tbl>
      <w:tblPr>
        <w:tblStyle w:val="TableGrid"/>
        <w:tblW w:w="0" w:type="auto"/>
        <w:jc w:val="center"/>
        <w:tblLook w:val="04A0" w:firstRow="1" w:lastRow="0" w:firstColumn="1" w:lastColumn="0" w:noHBand="0" w:noVBand="1"/>
      </w:tblPr>
      <w:tblGrid>
        <w:gridCol w:w="1275"/>
        <w:gridCol w:w="1843"/>
        <w:gridCol w:w="2413"/>
        <w:gridCol w:w="2548"/>
      </w:tblGrid>
      <w:tr w:rsidR="008B678D" w:rsidRPr="00567A2B" w14:paraId="5E7EB078" w14:textId="77777777" w:rsidTr="00D52A95">
        <w:trPr>
          <w:jc w:val="center"/>
        </w:trPr>
        <w:tc>
          <w:tcPr>
            <w:tcW w:w="1275" w:type="dxa"/>
            <w:shd w:val="clear" w:color="auto" w:fill="D9D9D9" w:themeFill="background1" w:themeFillShade="D9"/>
            <w:vAlign w:val="center"/>
          </w:tcPr>
          <w:p w14:paraId="3D297F21" w14:textId="77777777" w:rsidR="008B678D" w:rsidRPr="00567A2B" w:rsidRDefault="008B678D" w:rsidP="00D52A95">
            <w:pPr>
              <w:pStyle w:val="NormalTableau"/>
              <w:jc w:val="center"/>
            </w:pPr>
            <w:r w:rsidRPr="00567A2B">
              <w:t>Lot</w:t>
            </w:r>
          </w:p>
        </w:tc>
        <w:tc>
          <w:tcPr>
            <w:tcW w:w="1843" w:type="dxa"/>
            <w:shd w:val="clear" w:color="auto" w:fill="D9D9D9" w:themeFill="background1" w:themeFillShade="D9"/>
            <w:vAlign w:val="center"/>
          </w:tcPr>
          <w:p w14:paraId="7BFEE708" w14:textId="77777777" w:rsidR="008B678D" w:rsidRPr="00567A2B" w:rsidRDefault="008B678D" w:rsidP="00D52A95">
            <w:pPr>
              <w:pStyle w:val="NormalTableau"/>
              <w:jc w:val="center"/>
            </w:pPr>
            <w:r w:rsidRPr="00567A2B">
              <w:t>SCB des locaux hors sol (m</w:t>
            </w:r>
            <w:r w:rsidRPr="00567A2B">
              <w:rPr>
                <w:vertAlign w:val="superscript"/>
              </w:rPr>
              <w:t>2</w:t>
            </w:r>
            <w:r w:rsidRPr="00567A2B">
              <w:t>)</w:t>
            </w:r>
          </w:p>
        </w:tc>
        <w:tc>
          <w:tcPr>
            <w:tcW w:w="2413" w:type="dxa"/>
            <w:shd w:val="clear" w:color="auto" w:fill="D9D9D9" w:themeFill="background1" w:themeFillShade="D9"/>
            <w:vAlign w:val="center"/>
          </w:tcPr>
          <w:p w14:paraId="7CF21A22" w14:textId="77777777" w:rsidR="008B678D" w:rsidRPr="00567A2B" w:rsidRDefault="008B678D" w:rsidP="00D52A95">
            <w:pPr>
              <w:pStyle w:val="NormalTableau"/>
              <w:jc w:val="center"/>
            </w:pPr>
            <w:r w:rsidRPr="00567A2B">
              <w:t>SCB des franchises des locaux aménagea-bles en sous-sol (m</w:t>
            </w:r>
            <w:r w:rsidRPr="00567A2B">
              <w:rPr>
                <w:vertAlign w:val="superscript"/>
              </w:rPr>
              <w:t>2</w:t>
            </w:r>
            <w:r w:rsidRPr="00567A2B">
              <w:t>)</w:t>
            </w:r>
          </w:p>
        </w:tc>
        <w:tc>
          <w:tcPr>
            <w:tcW w:w="2548" w:type="dxa"/>
            <w:shd w:val="clear" w:color="auto" w:fill="D9D9D9" w:themeFill="background1" w:themeFillShade="D9"/>
            <w:vAlign w:val="center"/>
          </w:tcPr>
          <w:p w14:paraId="6EE190D8" w14:textId="77777777" w:rsidR="008B678D" w:rsidRPr="00567A2B" w:rsidRDefault="008B678D" w:rsidP="00D52A95">
            <w:pPr>
              <w:pStyle w:val="NormalTableau"/>
              <w:jc w:val="center"/>
            </w:pPr>
            <w:r w:rsidRPr="00567A2B">
              <w:t>SCB des franchises des locaux techniques en toiture (m</w:t>
            </w:r>
            <w:r w:rsidRPr="00567A2B">
              <w:rPr>
                <w:vertAlign w:val="superscript"/>
              </w:rPr>
              <w:t>2</w:t>
            </w:r>
            <w:r w:rsidRPr="00567A2B">
              <w:t>)</w:t>
            </w:r>
          </w:p>
        </w:tc>
      </w:tr>
      <w:tr w:rsidR="008B678D" w:rsidRPr="00567A2B" w14:paraId="1609175E" w14:textId="77777777" w:rsidTr="00D52A95">
        <w:trPr>
          <w:jc w:val="center"/>
        </w:trPr>
        <w:tc>
          <w:tcPr>
            <w:tcW w:w="1275" w:type="dxa"/>
            <w:vAlign w:val="center"/>
          </w:tcPr>
          <w:p w14:paraId="3D44CB21" w14:textId="77777777" w:rsidR="008B678D" w:rsidRPr="00567A2B" w:rsidRDefault="008B678D" w:rsidP="00D52A95">
            <w:pPr>
              <w:pStyle w:val="NormalTableau"/>
              <w:jc w:val="center"/>
            </w:pPr>
            <w:r w:rsidRPr="00567A2B">
              <w:t>Lot Bibliothèque Nationale</w:t>
            </w:r>
          </w:p>
        </w:tc>
        <w:tc>
          <w:tcPr>
            <w:tcW w:w="1843" w:type="dxa"/>
            <w:vAlign w:val="center"/>
          </w:tcPr>
          <w:p w14:paraId="13317B2C" w14:textId="77777777" w:rsidR="008B678D" w:rsidRPr="00567A2B" w:rsidRDefault="008B678D" w:rsidP="00D52A95">
            <w:pPr>
              <w:pStyle w:val="NormalTableau"/>
              <w:jc w:val="center"/>
            </w:pPr>
            <w:r w:rsidRPr="00567A2B">
              <w:t>sans objet</w:t>
            </w:r>
          </w:p>
        </w:tc>
        <w:tc>
          <w:tcPr>
            <w:tcW w:w="2413" w:type="dxa"/>
            <w:vAlign w:val="center"/>
          </w:tcPr>
          <w:p w14:paraId="6C4EF3B7" w14:textId="77777777" w:rsidR="008B678D" w:rsidRPr="00567A2B" w:rsidRDefault="008B678D" w:rsidP="00D52A95">
            <w:pPr>
              <w:pStyle w:val="NormalTableau"/>
              <w:jc w:val="center"/>
            </w:pPr>
            <w:r w:rsidRPr="00567A2B">
              <w:t>sans objet</w:t>
            </w:r>
          </w:p>
        </w:tc>
        <w:tc>
          <w:tcPr>
            <w:tcW w:w="2548" w:type="dxa"/>
            <w:vAlign w:val="center"/>
          </w:tcPr>
          <w:p w14:paraId="2BE89E2E" w14:textId="77777777" w:rsidR="008B678D" w:rsidRPr="00567A2B" w:rsidRDefault="008B678D" w:rsidP="00D52A95">
            <w:pPr>
              <w:pStyle w:val="NormalTableau"/>
              <w:jc w:val="center"/>
            </w:pPr>
            <w:r w:rsidRPr="00567A2B">
              <w:t>sans objet</w:t>
            </w:r>
          </w:p>
        </w:tc>
      </w:tr>
    </w:tbl>
    <w:p w14:paraId="4DD4BFE2" w14:textId="75D21DA7" w:rsidR="008B678D" w:rsidRDefault="008B678D" w:rsidP="008B678D">
      <w:pPr>
        <w:rPr>
          <w:lang w:val="fr-FR"/>
        </w:rPr>
      </w:pPr>
    </w:p>
    <w:p w14:paraId="1E476904" w14:textId="48A455BA" w:rsidR="008B678D" w:rsidRPr="008B678D" w:rsidRDefault="008B678D" w:rsidP="008B678D">
      <w:pPr>
        <w:rPr>
          <w:lang w:val="fr-FR"/>
        </w:rPr>
      </w:pPr>
      <w:r w:rsidRPr="008B678D">
        <w:rPr>
          <w:lang w:val="fr-FR"/>
        </w:rPr>
        <w:t xml:space="preserve">Les franchises des locaux aménageables </w:t>
      </w:r>
      <w:bookmarkStart w:id="0" w:name="_GoBack"/>
      <w:bookmarkEnd w:id="0"/>
      <w:r w:rsidRPr="008B678D">
        <w:rPr>
          <w:lang w:val="fr-FR"/>
        </w:rPr>
        <w:t>en sous-sol et des locaux techniques en toiture ne s’appliquent qu’en cas de démolition/reconstruction du bâtiment.</w:t>
      </w:r>
    </w:p>
    <w:p w14:paraId="34946F4F" w14:textId="79082024" w:rsidR="008B678D" w:rsidRPr="008B678D" w:rsidRDefault="008B678D" w:rsidP="008B678D">
      <w:pPr>
        <w:rPr>
          <w:lang w:val="fr-FR"/>
        </w:rPr>
      </w:pPr>
      <w:r w:rsidRPr="008B678D">
        <w:rPr>
          <w:lang w:val="fr-FR"/>
        </w:rPr>
        <w:t xml:space="preserve">Par </w:t>
      </w:r>
      <w:r w:rsidR="00567A2B">
        <w:rPr>
          <w:lang w:val="fr-FR"/>
        </w:rPr>
        <w:t>« </w:t>
      </w:r>
      <w:r w:rsidRPr="008B678D">
        <w:rPr>
          <w:lang w:val="fr-FR"/>
        </w:rPr>
        <w:t>franchise des locaux aménageables en sous-sol</w:t>
      </w:r>
      <w:r w:rsidR="00567A2B">
        <w:rPr>
          <w:lang w:val="fr-FR"/>
        </w:rPr>
        <w:t> »</w:t>
      </w:r>
      <w:r w:rsidRPr="008B678D">
        <w:rPr>
          <w:lang w:val="fr-FR"/>
        </w:rPr>
        <w:t xml:space="preserve">, on entend la surface jusqu’à concurrence de laquelle des locaux aménageables en sous-sol peuvent être construits sans qu’ils soient à comptabiliser en tant que </w:t>
      </w:r>
      <w:r w:rsidR="00D52A95">
        <w:rPr>
          <w:lang w:val="fr-FR"/>
        </w:rPr>
        <w:t>« </w:t>
      </w:r>
      <w:r w:rsidRPr="008B678D">
        <w:rPr>
          <w:lang w:val="fr-FR"/>
        </w:rPr>
        <w:t>SCB des locaux hors sol</w:t>
      </w:r>
      <w:r w:rsidR="00D52A95">
        <w:rPr>
          <w:lang w:val="fr-FR"/>
        </w:rPr>
        <w:t> »</w:t>
      </w:r>
      <w:r w:rsidRPr="008B678D">
        <w:rPr>
          <w:lang w:val="fr-FR"/>
        </w:rPr>
        <w:t xml:space="preserve">. Au-delà de la surface indiquée dans cette franchise, la surface des locaux aménageables en sous-sol est à comptabiliser en tant que </w:t>
      </w:r>
      <w:r w:rsidR="00D52A95">
        <w:rPr>
          <w:lang w:val="fr-FR"/>
        </w:rPr>
        <w:t>« </w:t>
      </w:r>
      <w:r w:rsidRPr="008B678D">
        <w:rPr>
          <w:lang w:val="fr-FR"/>
        </w:rPr>
        <w:t>SCB des locaux hors-sol</w:t>
      </w:r>
      <w:r w:rsidR="00D52A95">
        <w:rPr>
          <w:lang w:val="fr-FR"/>
        </w:rPr>
        <w:t> »</w:t>
      </w:r>
      <w:r w:rsidRPr="008B678D">
        <w:rPr>
          <w:lang w:val="fr-FR"/>
        </w:rPr>
        <w:t>.</w:t>
      </w:r>
    </w:p>
    <w:p w14:paraId="3D7EEDA9" w14:textId="46DD8D1C" w:rsidR="008B678D" w:rsidRPr="008B678D" w:rsidRDefault="008B678D" w:rsidP="008B678D">
      <w:pPr>
        <w:rPr>
          <w:lang w:val="fr-FR"/>
        </w:rPr>
      </w:pPr>
      <w:r w:rsidRPr="008B678D">
        <w:rPr>
          <w:lang w:val="fr-FR"/>
        </w:rPr>
        <w:t xml:space="preserve">Par </w:t>
      </w:r>
      <w:r w:rsidR="00D52A95">
        <w:rPr>
          <w:lang w:val="fr-FR"/>
        </w:rPr>
        <w:t>« </w:t>
      </w:r>
      <w:r w:rsidRPr="008B678D">
        <w:rPr>
          <w:lang w:val="fr-FR"/>
        </w:rPr>
        <w:t>franchise des locaux techniques en toiture</w:t>
      </w:r>
      <w:r w:rsidR="00D52A95">
        <w:rPr>
          <w:lang w:val="fr-FR"/>
        </w:rPr>
        <w:t> »</w:t>
      </w:r>
      <w:r w:rsidRPr="008B678D">
        <w:rPr>
          <w:lang w:val="fr-FR"/>
        </w:rPr>
        <w:t xml:space="preserve">, on entend la surface jusqu’à concurrence de laquelle des locaux techniques en toiture peuvent être construits sans qu’ils soient à comptabiliser en tant que </w:t>
      </w:r>
      <w:r w:rsidR="00D52A95">
        <w:rPr>
          <w:lang w:val="fr-FR"/>
        </w:rPr>
        <w:t>« </w:t>
      </w:r>
      <w:r w:rsidRPr="008B678D">
        <w:rPr>
          <w:lang w:val="fr-FR"/>
        </w:rPr>
        <w:t>SCB des locaux hors sol</w:t>
      </w:r>
      <w:r w:rsidR="00D52A95">
        <w:rPr>
          <w:lang w:val="fr-FR"/>
        </w:rPr>
        <w:t> »</w:t>
      </w:r>
      <w:r w:rsidRPr="008B678D">
        <w:rPr>
          <w:lang w:val="fr-FR"/>
        </w:rPr>
        <w:t>. Au-delà de la surface indiquée dans cette franchise, la surface de</w:t>
      </w:r>
      <w:r>
        <w:rPr>
          <w:lang w:val="fr-FR"/>
        </w:rPr>
        <w:t xml:space="preserve">s locaux techniques en toiture </w:t>
      </w:r>
      <w:r w:rsidRPr="008B678D">
        <w:rPr>
          <w:lang w:val="fr-FR"/>
        </w:rPr>
        <w:t xml:space="preserve">est à comptabiliser en tant que </w:t>
      </w:r>
      <w:r w:rsidR="00D52A95">
        <w:rPr>
          <w:lang w:val="fr-FR"/>
        </w:rPr>
        <w:t>« </w:t>
      </w:r>
      <w:r w:rsidRPr="008B678D">
        <w:rPr>
          <w:lang w:val="fr-FR"/>
        </w:rPr>
        <w:t>SCB des locaux hors-sol</w:t>
      </w:r>
      <w:r w:rsidR="00D52A95">
        <w:rPr>
          <w:lang w:val="fr-FR"/>
        </w:rPr>
        <w:t> »</w:t>
      </w:r>
      <w:r w:rsidRPr="008B678D">
        <w:rPr>
          <w:lang w:val="fr-FR"/>
        </w:rPr>
        <w:t>.</w:t>
      </w:r>
    </w:p>
    <w:p w14:paraId="49703C91" w14:textId="74111614" w:rsidR="008B678D" w:rsidRPr="008B678D" w:rsidRDefault="00D52A95" w:rsidP="00D52A95">
      <w:pPr>
        <w:pStyle w:val="Heading4"/>
        <w:rPr>
          <w:lang w:val="fr-FR"/>
        </w:rPr>
      </w:pPr>
      <w:r>
        <w:rPr>
          <w:lang w:val="fr-FR"/>
        </w:rPr>
        <w:t xml:space="preserve">E.3.4.2 </w:t>
      </w:r>
      <w:r w:rsidR="008B678D" w:rsidRPr="008B678D">
        <w:rPr>
          <w:lang w:val="fr-FR"/>
        </w:rPr>
        <w:t>Les niveaux et la hauteur</w:t>
      </w:r>
    </w:p>
    <w:p w14:paraId="71D06E26" w14:textId="77777777" w:rsidR="008B678D" w:rsidRPr="008B678D" w:rsidRDefault="008B678D" w:rsidP="008B678D">
      <w:pPr>
        <w:rPr>
          <w:lang w:val="fr-FR"/>
        </w:rPr>
      </w:pPr>
      <w:r w:rsidRPr="008B678D">
        <w:rPr>
          <w:lang w:val="fr-FR"/>
        </w:rPr>
        <w:t>Le nombre de niveaux et la hauteur à l’acrotère autorisés sont définis dans la partie graphique du PAP QE.</w:t>
      </w:r>
    </w:p>
    <w:p w14:paraId="18C88BD4" w14:textId="57E40362" w:rsidR="008B678D" w:rsidRPr="006605E2" w:rsidRDefault="008B678D" w:rsidP="008B678D">
      <w:pPr>
        <w:rPr>
          <w:lang w:val="fr-FR"/>
        </w:rPr>
      </w:pPr>
      <w:r w:rsidRPr="008B678D">
        <w:rPr>
          <w:lang w:val="fr-FR"/>
        </w:rPr>
        <w:t xml:space="preserve">Pour une partie des constructions aux abords du domaine public, une </w:t>
      </w:r>
      <w:r w:rsidR="00D52A95">
        <w:rPr>
          <w:lang w:val="fr-FR"/>
        </w:rPr>
        <w:t>« </w:t>
      </w:r>
      <w:r w:rsidRPr="008B678D">
        <w:rPr>
          <w:lang w:val="fr-FR"/>
        </w:rPr>
        <w:t>zone hauteur spécifique</w:t>
      </w:r>
      <w:r w:rsidR="00D52A95">
        <w:rPr>
          <w:lang w:val="fr-FR"/>
        </w:rPr>
        <w:t> »</w:t>
      </w:r>
      <w:r w:rsidRPr="008B678D">
        <w:rPr>
          <w:lang w:val="fr-FR"/>
        </w:rPr>
        <w:t xml:space="preserve"> à l’acrotère est définie dans la par</w:t>
      </w:r>
      <w:r w:rsidR="00D52A95">
        <w:rPr>
          <w:lang w:val="fr-FR"/>
        </w:rPr>
        <w:t>tie graphique du PAP QE. Cette « </w:t>
      </w:r>
      <w:r w:rsidRPr="008B678D">
        <w:rPr>
          <w:lang w:val="fr-FR"/>
        </w:rPr>
        <w:t>zone hauteur spécifique</w:t>
      </w:r>
      <w:r w:rsidR="00D52A95">
        <w:rPr>
          <w:lang w:val="fr-FR"/>
        </w:rPr>
        <w:t> »</w:t>
      </w:r>
      <w:r w:rsidRPr="008B678D">
        <w:rPr>
          <w:lang w:val="fr-FR"/>
        </w:rPr>
        <w:t xml:space="preserve"> est à respecter sur toute la profondeur de la surface définie dans la partie graphique du PAP QE.</w:t>
      </w:r>
    </w:p>
    <w:sectPr w:rsidR="008B678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A3883"/>
    <w:multiLevelType w:val="hybridMultilevel"/>
    <w:tmpl w:val="6F56D4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D05AA"/>
    <w:multiLevelType w:val="hybridMultilevel"/>
    <w:tmpl w:val="D9BC84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A26F3A"/>
    <w:multiLevelType w:val="hybridMultilevel"/>
    <w:tmpl w:val="277055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D37BA2"/>
    <w:multiLevelType w:val="hybridMultilevel"/>
    <w:tmpl w:val="877C2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83F76"/>
    <w:multiLevelType w:val="hybridMultilevel"/>
    <w:tmpl w:val="B9A476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126788"/>
    <w:multiLevelType w:val="hybridMultilevel"/>
    <w:tmpl w:val="7166DA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0"/>
  </w:num>
  <w:num w:numId="5">
    <w:abstractNumId w:val="1"/>
  </w:num>
  <w:num w:numId="6">
    <w:abstractNumId w:val="4"/>
  </w:num>
  <w:num w:numId="7">
    <w:abstractNumId w:val="6"/>
  </w:num>
  <w:num w:numId="8">
    <w:abstractNumId w:val="5"/>
  </w:num>
  <w:num w:numId="9">
    <w:abstractNumId w:val="2"/>
  </w:num>
  <w:num w:numId="10">
    <w:abstractNumId w:val="7"/>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67A2B"/>
    <w:rsid w:val="005D1D9B"/>
    <w:rsid w:val="006605E2"/>
    <w:rsid w:val="006653E2"/>
    <w:rsid w:val="00732511"/>
    <w:rsid w:val="007B41C9"/>
    <w:rsid w:val="007B5125"/>
    <w:rsid w:val="008A46DB"/>
    <w:rsid w:val="008B678D"/>
    <w:rsid w:val="009D6555"/>
    <w:rsid w:val="00A610F9"/>
    <w:rsid w:val="00AD5B20"/>
    <w:rsid w:val="00B11E93"/>
    <w:rsid w:val="00B208F3"/>
    <w:rsid w:val="00C10C63"/>
    <w:rsid w:val="00C85115"/>
    <w:rsid w:val="00CB2FE8"/>
    <w:rsid w:val="00CF3132"/>
    <w:rsid w:val="00D35FE3"/>
    <w:rsid w:val="00D52A9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8B678D"/>
    <w:pPr>
      <w:spacing w:after="0" w:line="240" w:lineRule="auto"/>
      <w:jc w:val="both"/>
    </w:pPr>
    <w:rPr>
      <w:rFonts w:ascii="Arial Narrow" w:hAnsi="Arial Narrow"/>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1706</Words>
  <Characters>9728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2021-03-17T07:35:00Z</dcterms:modified>
</cp:coreProperties>
</file>