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 xml:space="preserve">Par terrain situé en bordure de parois rocheuses, on entend tout terrain qui, dans une bande </w:t>
      </w:r>
      <w:proofErr w:type="gramStart"/>
      <w:r w:rsidRPr="007D4B71">
        <w:rPr>
          <w:lang w:val="fr-FR"/>
        </w:rPr>
        <w:t>de</w:t>
      </w:r>
      <w:proofErr w:type="gramEnd"/>
      <w:r w:rsidRPr="007D4B71">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18CC3774" w:rsid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4A6321A" w14:textId="77777777" w:rsidR="00262B77" w:rsidRPr="007D4B71" w:rsidRDefault="00262B77" w:rsidP="00262B77">
      <w:pPr>
        <w:pStyle w:val="Heading4"/>
        <w:rPr>
          <w:lang w:val="fr-FR"/>
        </w:rPr>
      </w:pPr>
      <w:r>
        <w:rPr>
          <w:lang w:val="fr-FR"/>
        </w:rPr>
        <w:t xml:space="preserve">B.2.1.4 </w:t>
      </w:r>
      <w:r w:rsidRPr="007D4B71">
        <w:rPr>
          <w:lang w:val="fr-FR"/>
        </w:rPr>
        <w:t>Les dépendances</w:t>
      </w:r>
    </w:p>
    <w:p w14:paraId="0B10AC75" w14:textId="77777777" w:rsidR="000E22E1" w:rsidRPr="007D4B71" w:rsidRDefault="000E22E1" w:rsidP="000E22E1">
      <w:pPr>
        <w:pStyle w:val="Heading5"/>
        <w:rPr>
          <w:lang w:val="fr-FR"/>
        </w:rPr>
      </w:pPr>
      <w:r>
        <w:rPr>
          <w:lang w:val="fr-FR"/>
        </w:rPr>
        <w:t>B.2.1.4.1 Généralités</w:t>
      </w:r>
    </w:p>
    <w:p w14:paraId="19B4AD1E" w14:textId="77777777" w:rsidR="000E22E1" w:rsidRPr="007D4B71" w:rsidRDefault="000E22E1" w:rsidP="000E22E1">
      <w:pPr>
        <w:rPr>
          <w:lang w:val="fr-FR"/>
        </w:rPr>
      </w:pPr>
      <w:r>
        <w:rPr>
          <w:lang w:val="fr-FR"/>
        </w:rPr>
        <w:t>Les dépendances ne sont destinées ni au séjour prolongé de personnes, ni à une activité professionnelle.</w:t>
      </w:r>
    </w:p>
    <w:p w14:paraId="43621C9C" w14:textId="77777777" w:rsidR="000E22E1" w:rsidRPr="007D4B71" w:rsidRDefault="000E22E1" w:rsidP="000E22E1">
      <w:pPr>
        <w:pStyle w:val="Heading5"/>
        <w:rPr>
          <w:lang w:val="fr-FR"/>
        </w:rPr>
      </w:pPr>
      <w:r>
        <w:rPr>
          <w:lang w:val="fr-FR"/>
        </w:rPr>
        <w:t xml:space="preserve">B.2.1.4.2 </w:t>
      </w:r>
      <w:r w:rsidRPr="007D4B71">
        <w:rPr>
          <w:lang w:val="fr-FR"/>
        </w:rPr>
        <w:t>Les dépendances dans la marge de reculement postérieure</w:t>
      </w:r>
    </w:p>
    <w:p w14:paraId="25F055CE" w14:textId="77777777" w:rsidR="000E22E1" w:rsidRPr="008E5398" w:rsidRDefault="000E22E1" w:rsidP="000E22E1">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0187E1B" w14:textId="77777777" w:rsidR="000E22E1" w:rsidRPr="007D4B71" w:rsidRDefault="000E22E1" w:rsidP="000E22E1">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16AA831D" w14:textId="77777777" w:rsidR="000E22E1" w:rsidRDefault="000E22E1" w:rsidP="000E22E1">
      <w:pPr>
        <w:ind w:left="720"/>
        <w:rPr>
          <w:lang w:val="fr-FR"/>
        </w:rPr>
      </w:pPr>
      <w:r w:rsidRPr="007D4B71">
        <w:rPr>
          <w:lang w:val="fr-FR"/>
        </w:rPr>
        <w:t>La hauteur de ces dépendances ne doit pas dépasser 3,50 mètres par rapport</w:t>
      </w:r>
      <w:r>
        <w:rPr>
          <w:lang w:val="fr-FR"/>
        </w:rPr>
        <w:t xml:space="preserve"> au niveau du terrain existant.</w:t>
      </w:r>
    </w:p>
    <w:p w14:paraId="2674B6F2" w14:textId="77777777" w:rsidR="000E22E1" w:rsidRPr="007D4B71" w:rsidRDefault="000E22E1" w:rsidP="000E22E1">
      <w:pPr>
        <w:ind w:left="720"/>
        <w:rPr>
          <w:lang w:val="fr-FR"/>
        </w:rPr>
      </w:pPr>
      <w:r>
        <w:rPr>
          <w:lang w:val="fr-FR"/>
        </w:rPr>
        <w:t>Les sous-sols ne sont pas permis.</w:t>
      </w:r>
    </w:p>
    <w:p w14:paraId="669B195C" w14:textId="77777777" w:rsidR="000E22E1" w:rsidRPr="007D4B71" w:rsidRDefault="000E22E1" w:rsidP="000E22E1">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728C825" w14:textId="77777777" w:rsidR="000E22E1" w:rsidRPr="008E5398" w:rsidRDefault="000E22E1" w:rsidP="000E22E1">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22931899" w14:textId="77777777" w:rsidR="000E22E1" w:rsidRDefault="000E22E1" w:rsidP="000E22E1">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0023614E" w14:textId="77777777" w:rsidR="000E22E1" w:rsidRPr="007D4B71" w:rsidRDefault="000E22E1" w:rsidP="000E22E1">
      <w:pPr>
        <w:ind w:left="720"/>
        <w:rPr>
          <w:lang w:val="fr-FR"/>
        </w:rPr>
      </w:pPr>
      <w:r>
        <w:rPr>
          <w:lang w:val="fr-FR"/>
        </w:rPr>
        <w:t>Les sous-sol ne sont pas permis.</w:t>
      </w:r>
    </w:p>
    <w:p w14:paraId="685897E5" w14:textId="77777777" w:rsidR="000E22E1" w:rsidRPr="008E5398" w:rsidRDefault="000E22E1" w:rsidP="000E22E1">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34186ADE" w:rsidR="007D4B71" w:rsidRP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3AB4C2B3" w14:textId="77777777" w:rsidR="009A3B99" w:rsidRPr="007D4B71" w:rsidRDefault="009A3B99" w:rsidP="009A3B99">
      <w:pPr>
        <w:rPr>
          <w:lang w:val="fr-FR"/>
        </w:rPr>
      </w:pPr>
      <w:r w:rsidRPr="007D4B71">
        <w:rPr>
          <w:lang w:val="fr-FR"/>
        </w:rPr>
        <w:t>La partie écrite du PAG détermine le nombre des emplacements de stationnement pour véhicules.</w:t>
      </w:r>
    </w:p>
    <w:p w14:paraId="439E29A4" w14:textId="77777777" w:rsidR="009A3B99" w:rsidRPr="007D4B71" w:rsidRDefault="009A3B99" w:rsidP="009A3B99">
      <w:pPr>
        <w:rPr>
          <w:lang w:val="fr-FR"/>
        </w:rPr>
      </w:pPr>
      <w:r w:rsidRPr="007D4B71">
        <w:rPr>
          <w:lang w:val="fr-FR"/>
        </w:rPr>
        <w:lastRenderedPageBreak/>
        <w:t>Les emplacements de stationnement sont à aménager en principe dans l'immeuble.</w:t>
      </w:r>
    </w:p>
    <w:p w14:paraId="25B03F8A" w14:textId="77777777" w:rsidR="009A3B99" w:rsidRPr="007D4B71" w:rsidRDefault="009A3B99" w:rsidP="009A3B99">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75824521" w14:textId="77777777" w:rsidR="009A3B99" w:rsidRPr="007D4B71" w:rsidRDefault="009A3B99" w:rsidP="009A3B99">
      <w:pPr>
        <w:rPr>
          <w:lang w:val="fr-FR"/>
        </w:rPr>
      </w:pPr>
      <w:r w:rsidRPr="007D4B71">
        <w:rPr>
          <w:lang w:val="fr-FR"/>
        </w:rPr>
        <w:t>La largeur maximale d’une porte de garage ne peut pas dépasser 5 mètres.</w:t>
      </w:r>
    </w:p>
    <w:p w14:paraId="21A30571" w14:textId="77777777" w:rsidR="009A3B99" w:rsidRPr="007D4B71" w:rsidRDefault="009A3B99" w:rsidP="009A3B99">
      <w:pPr>
        <w:rPr>
          <w:lang w:val="fr-FR"/>
        </w:rPr>
      </w:pPr>
      <w:r w:rsidRPr="007D4B71">
        <w:rPr>
          <w:lang w:val="fr-FR"/>
        </w:rPr>
        <w:t>L’accès aux garages peut se faire uniquement par les façades donnant sur rue ou par les façades latérales.</w:t>
      </w:r>
    </w:p>
    <w:p w14:paraId="06147CAC" w14:textId="77777777" w:rsidR="009A3B99" w:rsidRDefault="009A3B99" w:rsidP="009A3B99">
      <w:pPr>
        <w:rPr>
          <w:lang w:val="fr-FR"/>
        </w:rPr>
      </w:pPr>
      <w:r w:rsidRPr="007D4B71">
        <w:rPr>
          <w:lang w:val="fr-FR"/>
        </w:rPr>
        <w:t>Les rampes d’accès descendantes dans les marges de reculement latérales peuven</w:t>
      </w:r>
      <w:r>
        <w:rPr>
          <w:lang w:val="fr-FR"/>
        </w:rPr>
        <w:t>t être couvertes sous condition:</w:t>
      </w:r>
    </w:p>
    <w:p w14:paraId="5AFF83F0" w14:textId="77777777" w:rsidR="009A3B99" w:rsidRDefault="009A3B99" w:rsidP="009A3B99">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17756389" w14:textId="77777777" w:rsidR="009A3B99" w:rsidRDefault="009A3B99" w:rsidP="009A3B99">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0D782DFA" w14:textId="77777777" w:rsidR="009A3B99" w:rsidRDefault="009A3B99" w:rsidP="009A3B99">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568893EE" w14:textId="77777777" w:rsidR="009A3B99" w:rsidRPr="007D4B71" w:rsidRDefault="009A3B99" w:rsidP="009A3B99">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09FEF92" w14:textId="77777777" w:rsidR="009A3B99" w:rsidRDefault="009A3B99" w:rsidP="009A3B99">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22B69346" w14:textId="77777777" w:rsidR="009A3B99" w:rsidRDefault="009A3B99" w:rsidP="009A3B99">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513CB919" w14:textId="77777777" w:rsidR="009A3B99" w:rsidRDefault="009A3B99" w:rsidP="009A3B99">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2195D7AA" w14:textId="77777777" w:rsidR="009A3B99" w:rsidRDefault="009A3B99" w:rsidP="009A3B99">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0C7F5799" w14:textId="77777777" w:rsidR="009A3B99" w:rsidRDefault="009A3B99" w:rsidP="009A3B99">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0C503CF6" w14:textId="77777777" w:rsidR="009A3B99" w:rsidRDefault="009A3B99" w:rsidP="009A3B99">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7D3F5B91" w14:textId="77777777" w:rsidR="009A3B99" w:rsidRPr="007D4B71" w:rsidRDefault="009A3B99" w:rsidP="009A3B99">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01AE00BC" w14:textId="77777777" w:rsidR="006A0158" w:rsidRDefault="006A0158" w:rsidP="006A0158">
      <w:pPr>
        <w:pStyle w:val="Heading3"/>
        <w:rPr>
          <w:lang w:val="fr-FR"/>
        </w:rPr>
      </w:pPr>
      <w:r w:rsidRPr="007D4B71">
        <w:rPr>
          <w:lang w:val="fr-FR"/>
        </w:rPr>
        <w:t>B.3.3 La profondeur des constructions</w:t>
      </w:r>
    </w:p>
    <w:p w14:paraId="0B5ECACC" w14:textId="77777777" w:rsidR="006A0158" w:rsidRPr="00BC3966" w:rsidRDefault="006A0158" w:rsidP="006A0158">
      <w:pPr>
        <w:pStyle w:val="Heading4"/>
        <w:rPr>
          <w:lang w:val="fr-FR"/>
        </w:rPr>
      </w:pPr>
      <w:r>
        <w:rPr>
          <w:lang w:val="fr-FR"/>
        </w:rPr>
        <w:t>B.3.3.1 La profondeur des constructions principales</w:t>
      </w:r>
    </w:p>
    <w:p w14:paraId="4E96A4D1" w14:textId="77777777" w:rsidR="006A0158" w:rsidRPr="007D4B71" w:rsidRDefault="006A0158" w:rsidP="006A0158">
      <w:pPr>
        <w:rPr>
          <w:lang w:val="fr-FR"/>
        </w:rPr>
      </w:pPr>
      <w:r w:rsidRPr="007D4B71">
        <w:rPr>
          <w:lang w:val="fr-FR"/>
        </w:rPr>
        <w:t>Dans les secteurs [HAB-1•a], les constructions principales peuvent avoir une profondeur maximale de 20 mètres.</w:t>
      </w:r>
    </w:p>
    <w:p w14:paraId="043DB2F2" w14:textId="77777777" w:rsidR="006A0158" w:rsidRPr="007D4B71" w:rsidRDefault="006A0158" w:rsidP="006A0158">
      <w:pPr>
        <w:rPr>
          <w:lang w:val="fr-FR"/>
        </w:rPr>
      </w:pPr>
      <w:r w:rsidRPr="007D4B71">
        <w:rPr>
          <w:lang w:val="fr-FR"/>
        </w:rPr>
        <w:t>Dans les secteurs [HAB-1•b], [HAB-1•c] et [HAB-1•k], les constructions principales peuvent avoir une profondeur maximale de 13 mètres.</w:t>
      </w:r>
    </w:p>
    <w:p w14:paraId="4E06ADFA" w14:textId="77777777" w:rsidR="006A0158" w:rsidRDefault="006A0158" w:rsidP="006A0158">
      <w:pPr>
        <w:rPr>
          <w:lang w:val="fr-FR"/>
        </w:rPr>
      </w:pPr>
      <w:r w:rsidRPr="007D4B71">
        <w:rPr>
          <w:lang w:val="fr-FR"/>
        </w:rPr>
        <w:t>Dans les secteurs [HAB-1•k+], les constructions principales peuvent avoir une profondeur maximale de 15 mètres.</w:t>
      </w:r>
    </w:p>
    <w:p w14:paraId="714D3545" w14:textId="77777777" w:rsidR="006A0158" w:rsidRDefault="006A0158" w:rsidP="006A0158">
      <w:pPr>
        <w:pStyle w:val="Heading4"/>
        <w:rPr>
          <w:lang w:val="fr-FR"/>
        </w:rPr>
      </w:pPr>
      <w:r>
        <w:rPr>
          <w:lang w:val="fr-FR"/>
        </w:rPr>
        <w:t>B.3.3.2 La profondeur des constructions au niveau du terrain existant</w:t>
      </w:r>
    </w:p>
    <w:p w14:paraId="3A019606" w14:textId="2A7AAC93" w:rsidR="006A0158" w:rsidRDefault="006A0158" w:rsidP="006A0158">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w:t>
      </w:r>
      <w:r w:rsidR="00F530AA">
        <w:rPr>
          <w:lang w:val="fr-FR"/>
        </w:rPr>
        <w:t xml:space="preserve">s au niveau du terrain existant, </w:t>
      </w:r>
      <w:r>
        <w:rPr>
          <w:lang w:val="fr-FR"/>
        </w:rPr>
        <w:t>d’une profondeur maximale de 4 mètres au-delà de la construction principale et d’une hauteur hors tout ne dépassant pas 4,5 mètres au-dessus du niveau du terrain existant à condition:</w:t>
      </w:r>
    </w:p>
    <w:p w14:paraId="69E524B1" w14:textId="77777777" w:rsidR="006A0158" w:rsidRDefault="006A0158" w:rsidP="006A0158">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16BD8334" w14:textId="77777777" w:rsidR="006A0158" w:rsidRDefault="006A0158" w:rsidP="006A0158">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7F5F20C0" w14:textId="77777777" w:rsidR="006A0158" w:rsidRDefault="006A0158" w:rsidP="006A0158">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7F787529" w14:textId="77777777" w:rsidR="006A0158" w:rsidRDefault="006A0158" w:rsidP="006A0158">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4B339935" w14:textId="77777777" w:rsidR="006A0158" w:rsidRDefault="006A0158" w:rsidP="006A0158">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15897513" w14:textId="7127F3EF" w:rsidR="006A0158" w:rsidRDefault="00F530AA" w:rsidP="006A0158">
      <w:pPr>
        <w:rPr>
          <w:lang w:val="fr-FR"/>
        </w:rPr>
      </w:pPr>
      <w:r w:rsidRPr="00F530AA">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555D262E" w14:textId="77777777" w:rsidR="006A0158" w:rsidRDefault="006A0158" w:rsidP="006A0158">
      <w:pPr>
        <w:rPr>
          <w:lang w:val="fr-FR"/>
        </w:rPr>
      </w:pPr>
      <w:r>
        <w:rPr>
          <w:lang w:val="fr-FR"/>
        </w:rPr>
        <w:t>Dans ces constructions, toutes les fonctions compatibles avec le mode d’utilisation du sol tel que visée à l’article B.3.1 sont admises.</w:t>
      </w:r>
    </w:p>
    <w:p w14:paraId="718E891A" w14:textId="77777777" w:rsidR="006A0158" w:rsidRPr="00BC3966" w:rsidRDefault="006A0158" w:rsidP="006A0158">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22E1"/>
    <w:rsid w:val="00262B77"/>
    <w:rsid w:val="00387019"/>
    <w:rsid w:val="0039622D"/>
    <w:rsid w:val="00397462"/>
    <w:rsid w:val="003A681A"/>
    <w:rsid w:val="004A598B"/>
    <w:rsid w:val="005D1D9B"/>
    <w:rsid w:val="006605E2"/>
    <w:rsid w:val="006653E2"/>
    <w:rsid w:val="006A0158"/>
    <w:rsid w:val="00732511"/>
    <w:rsid w:val="007B41C9"/>
    <w:rsid w:val="007B5125"/>
    <w:rsid w:val="007D4B71"/>
    <w:rsid w:val="008A46DB"/>
    <w:rsid w:val="009A3B99"/>
    <w:rsid w:val="009D6555"/>
    <w:rsid w:val="00A610F9"/>
    <w:rsid w:val="00AD5B20"/>
    <w:rsid w:val="00B11E93"/>
    <w:rsid w:val="00B208F3"/>
    <w:rsid w:val="00C10C63"/>
    <w:rsid w:val="00C85115"/>
    <w:rsid w:val="00CB2FE8"/>
    <w:rsid w:val="00CF3132"/>
    <w:rsid w:val="00D35FE3"/>
    <w:rsid w:val="00EA7952"/>
    <w:rsid w:val="00EB23F4"/>
    <w:rsid w:val="00F163B8"/>
    <w:rsid w:val="00F530A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2023-07-14T04:55:00Z</dcterms:modified>
</cp:coreProperties>
</file>