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61D39" w14:textId="610C3105" w:rsidR="0069747B" w:rsidRPr="0069747B" w:rsidRDefault="0069747B" w:rsidP="0069747B">
      <w:pPr>
        <w:pStyle w:val="Heading1"/>
        <w:rPr>
          <w:lang w:val="fr-FR"/>
        </w:rPr>
      </w:pPr>
      <w:bookmarkStart w:id="0" w:name="_GoBack"/>
      <w:bookmarkEnd w:id="0"/>
      <w:r w:rsidRPr="0069747B">
        <w:rPr>
          <w:lang w:val="fr-FR"/>
        </w:rPr>
        <w:t>E. Les PAP QE du Plateau de Kirchberg - [KIR]</w:t>
      </w:r>
    </w:p>
    <w:p w14:paraId="4D6BF27E" w14:textId="77777777" w:rsidR="0069747B" w:rsidRPr="0069747B" w:rsidRDefault="0069747B" w:rsidP="0069747B">
      <w:pPr>
        <w:pStyle w:val="Heading2"/>
        <w:rPr>
          <w:lang w:val="fr-FR"/>
        </w:rPr>
      </w:pPr>
      <w:r w:rsidRPr="0069747B">
        <w:rPr>
          <w:lang w:val="fr-FR"/>
        </w:rPr>
        <w:t>E.1 Les définitions</w:t>
      </w:r>
    </w:p>
    <w:p w14:paraId="41429CFF" w14:textId="1DFBA15D" w:rsidR="0069747B" w:rsidRPr="0069747B" w:rsidRDefault="0069747B" w:rsidP="0069747B">
      <w:pPr>
        <w:rPr>
          <w:lang w:val="fr-FR"/>
        </w:rPr>
      </w:pPr>
      <w:r w:rsidRPr="0069747B">
        <w:rPr>
          <w:lang w:val="fr-FR"/>
        </w:rPr>
        <w:t>Le mode d’utilisation du sol de la zone spéciale mixte urbaine centrale européenne et nationale [MIX-</w:t>
      </w:r>
      <w:proofErr w:type="spellStart"/>
      <w:r w:rsidRPr="0069747B">
        <w:rPr>
          <w:lang w:val="fr-FR"/>
        </w:rPr>
        <w:t>cen</w:t>
      </w:r>
      <w:proofErr w:type="spellEnd"/>
      <w:r w:rsidRPr="0069747B">
        <w:rPr>
          <w:lang w:val="fr-FR"/>
        </w:rPr>
        <w:t>], de la zone mixte urbaine centrale [</w:t>
      </w:r>
      <w:proofErr w:type="spellStart"/>
      <w:r w:rsidRPr="0069747B">
        <w:rPr>
          <w:lang w:val="fr-FR"/>
        </w:rPr>
        <w:t>MIX-c</w:t>
      </w:r>
      <w:proofErr w:type="spellEnd"/>
      <w:r w:rsidRPr="0069747B">
        <w:rPr>
          <w:lang w:val="fr-FR"/>
        </w:rPr>
        <w:t xml:space="preserve">], de la zone spéciale Foire [SPEC-F], de la zone spéciale Télécommunication [SPEC-T], de la zone d’habitation 2 [HAB-2] et de la zone de bâtiments et d’équipements publics [BEP], tel que défini dans la partie écrite du plan d’aménagement général (PAG), est précisé ci-dessous pour le PAP QE </w:t>
      </w:r>
      <w:r>
        <w:rPr>
          <w:lang w:val="fr-FR"/>
        </w:rPr>
        <w:t>« </w:t>
      </w:r>
      <w:r w:rsidRPr="0069747B">
        <w:rPr>
          <w:lang w:val="fr-FR"/>
        </w:rPr>
        <w:t>Kirchberg Européen</w:t>
      </w:r>
      <w:r>
        <w:rPr>
          <w:lang w:val="fr-FR"/>
        </w:rPr>
        <w:t> »</w:t>
      </w:r>
      <w:r w:rsidRPr="0069747B">
        <w:rPr>
          <w:lang w:val="fr-FR"/>
        </w:rPr>
        <w:t xml:space="preserve"> - [KIR-eu], </w:t>
      </w:r>
      <w:r>
        <w:rPr>
          <w:lang w:val="fr-FR"/>
        </w:rPr>
        <w:t>« </w:t>
      </w:r>
      <w:r w:rsidRPr="0069747B">
        <w:rPr>
          <w:lang w:val="fr-FR"/>
        </w:rPr>
        <w:t>Kirchberg Parc</w:t>
      </w:r>
      <w:r>
        <w:rPr>
          <w:lang w:val="fr-FR"/>
        </w:rPr>
        <w:t> »</w:t>
      </w:r>
      <w:r w:rsidRPr="0069747B">
        <w:rPr>
          <w:lang w:val="fr-FR"/>
        </w:rPr>
        <w:t xml:space="preserve"> - [KIR-</w:t>
      </w:r>
      <w:proofErr w:type="spellStart"/>
      <w:r w:rsidRPr="0069747B">
        <w:rPr>
          <w:lang w:val="fr-FR"/>
        </w:rPr>
        <w:t>pa</w:t>
      </w:r>
      <w:proofErr w:type="spellEnd"/>
      <w:r w:rsidRPr="0069747B">
        <w:rPr>
          <w:lang w:val="fr-FR"/>
        </w:rPr>
        <w:t xml:space="preserve">], </w:t>
      </w:r>
      <w:r>
        <w:rPr>
          <w:lang w:val="fr-FR"/>
        </w:rPr>
        <w:t>« </w:t>
      </w:r>
      <w:r w:rsidRPr="0069747B">
        <w:rPr>
          <w:lang w:val="fr-FR"/>
        </w:rPr>
        <w:t>Kirchberg Grünewald Nord</w:t>
      </w:r>
      <w:r>
        <w:rPr>
          <w:lang w:val="fr-FR"/>
        </w:rPr>
        <w:t> »</w:t>
      </w:r>
      <w:r w:rsidRPr="0069747B">
        <w:rPr>
          <w:lang w:val="fr-FR"/>
        </w:rPr>
        <w:t xml:space="preserve"> - [KIR-</w:t>
      </w:r>
      <w:proofErr w:type="spellStart"/>
      <w:r w:rsidRPr="0069747B">
        <w:rPr>
          <w:lang w:val="fr-FR"/>
        </w:rPr>
        <w:t>gn</w:t>
      </w:r>
      <w:proofErr w:type="spellEnd"/>
      <w:r w:rsidRPr="0069747B">
        <w:rPr>
          <w:lang w:val="fr-FR"/>
        </w:rPr>
        <w:t xml:space="preserve">] et </w:t>
      </w:r>
      <w:r>
        <w:rPr>
          <w:lang w:val="fr-FR"/>
        </w:rPr>
        <w:t>« </w:t>
      </w:r>
      <w:r w:rsidRPr="0069747B">
        <w:rPr>
          <w:lang w:val="fr-FR"/>
        </w:rPr>
        <w:t>Kirchberg Grünewald Sud</w:t>
      </w:r>
      <w:r>
        <w:rPr>
          <w:lang w:val="fr-FR"/>
        </w:rPr>
        <w:t> » - [KIR-</w:t>
      </w:r>
      <w:proofErr w:type="spellStart"/>
      <w:r>
        <w:rPr>
          <w:lang w:val="fr-FR"/>
        </w:rPr>
        <w:t>gs</w:t>
      </w:r>
      <w:proofErr w:type="spellEnd"/>
      <w:r>
        <w:rPr>
          <w:lang w:val="fr-FR"/>
        </w:rPr>
        <w:t>].</w:t>
      </w:r>
    </w:p>
    <w:p w14:paraId="338DB895" w14:textId="77777777" w:rsidR="0069747B" w:rsidRPr="0069747B" w:rsidRDefault="0069747B" w:rsidP="0069747B">
      <w:pPr>
        <w:rPr>
          <w:lang w:val="fr-FR"/>
        </w:rPr>
      </w:pPr>
      <w:r w:rsidRPr="0069747B">
        <w:rPr>
          <w:lang w:val="fr-FR"/>
        </w:rPr>
        <w:t>Les différents quartiers du Plateau de Kirchberg sont destinés à accueillir les administrations et services de l’Union européenne, des services administratifs et professionnels, des commerces, des établissements à caractère artisanal, des activités de loisirs, des hôtels, des restaurants et des débits de boissons, des équipements de service public et privé, des activités de récréation, de l’habitation et des espaces libres correspondant à l’ensemble de ces fonctions.</w:t>
      </w:r>
    </w:p>
    <w:p w14:paraId="5EEEECB7" w14:textId="57B4F864" w:rsidR="0069747B" w:rsidRPr="0069747B" w:rsidRDefault="0069747B" w:rsidP="0069747B">
      <w:pPr>
        <w:rPr>
          <w:lang w:val="fr-FR"/>
        </w:rPr>
      </w:pPr>
      <w:r w:rsidRPr="0069747B">
        <w:rPr>
          <w:lang w:val="fr-FR"/>
        </w:rPr>
        <w:t xml:space="preserve">Les PAP QE du Plateau de Kirchberg, dénommées par la </w:t>
      </w:r>
      <w:r>
        <w:rPr>
          <w:lang w:val="fr-FR"/>
        </w:rPr>
        <w:t>suite [KIR], sont subdivisés en</w:t>
      </w:r>
      <w:r w:rsidRPr="0069747B">
        <w:rPr>
          <w:lang w:val="fr-FR"/>
        </w:rPr>
        <w:t>:</w:t>
      </w:r>
    </w:p>
    <w:p w14:paraId="0EFC185A" w14:textId="037E0C1D" w:rsidR="0069747B" w:rsidRPr="0069747B" w:rsidRDefault="0069747B" w:rsidP="0069747B">
      <w:pPr>
        <w:pStyle w:val="ListParagraph"/>
        <w:numPr>
          <w:ilvl w:val="0"/>
          <w:numId w:val="8"/>
        </w:numPr>
        <w:rPr>
          <w:lang w:val="fr-FR"/>
        </w:rPr>
      </w:pPr>
      <w:r w:rsidRPr="0069747B">
        <w:rPr>
          <w:lang w:val="fr-FR"/>
        </w:rPr>
        <w:t xml:space="preserve">Le PAP QE </w:t>
      </w:r>
      <w:r>
        <w:rPr>
          <w:lang w:val="fr-FR"/>
        </w:rPr>
        <w:t>« </w:t>
      </w:r>
      <w:r w:rsidRPr="0069747B">
        <w:rPr>
          <w:lang w:val="fr-FR"/>
        </w:rPr>
        <w:t>Kirchberg Européen</w:t>
      </w:r>
      <w:r>
        <w:rPr>
          <w:lang w:val="fr-FR"/>
        </w:rPr>
        <w:t> »</w:t>
      </w:r>
      <w:r w:rsidRPr="0069747B">
        <w:rPr>
          <w:lang w:val="fr-FR"/>
        </w:rPr>
        <w:t xml:space="preserve"> - [KIR-eu]</w:t>
      </w:r>
    </w:p>
    <w:p w14:paraId="783EEF70" w14:textId="32EBD65A" w:rsidR="0069747B" w:rsidRPr="0069747B" w:rsidRDefault="0069747B" w:rsidP="0069747B">
      <w:pPr>
        <w:pStyle w:val="ListParagraph"/>
        <w:numPr>
          <w:ilvl w:val="0"/>
          <w:numId w:val="8"/>
        </w:numPr>
        <w:rPr>
          <w:lang w:val="fr-FR"/>
        </w:rPr>
      </w:pPr>
      <w:r w:rsidRPr="0069747B">
        <w:rPr>
          <w:lang w:val="fr-FR"/>
        </w:rPr>
        <w:t xml:space="preserve">Le PAP QE </w:t>
      </w:r>
      <w:r>
        <w:rPr>
          <w:lang w:val="fr-FR"/>
        </w:rPr>
        <w:t>« </w:t>
      </w:r>
      <w:r w:rsidRPr="0069747B">
        <w:rPr>
          <w:lang w:val="fr-FR"/>
        </w:rPr>
        <w:t>Kirchberg Parc</w:t>
      </w:r>
      <w:r>
        <w:rPr>
          <w:lang w:val="fr-FR"/>
        </w:rPr>
        <w:t> »</w:t>
      </w:r>
      <w:r w:rsidRPr="0069747B">
        <w:rPr>
          <w:lang w:val="fr-FR"/>
        </w:rPr>
        <w:t xml:space="preserve"> - [KIR-</w:t>
      </w:r>
      <w:proofErr w:type="spellStart"/>
      <w:r w:rsidRPr="0069747B">
        <w:rPr>
          <w:lang w:val="fr-FR"/>
        </w:rPr>
        <w:t>pa</w:t>
      </w:r>
      <w:proofErr w:type="spellEnd"/>
      <w:r w:rsidRPr="0069747B">
        <w:rPr>
          <w:lang w:val="fr-FR"/>
        </w:rPr>
        <w:t>]</w:t>
      </w:r>
    </w:p>
    <w:p w14:paraId="2174851D" w14:textId="667F8B11" w:rsidR="0069747B" w:rsidRPr="0069747B" w:rsidRDefault="0069747B" w:rsidP="0069747B">
      <w:pPr>
        <w:pStyle w:val="ListParagraph"/>
        <w:numPr>
          <w:ilvl w:val="0"/>
          <w:numId w:val="8"/>
        </w:numPr>
        <w:rPr>
          <w:lang w:val="fr-FR"/>
        </w:rPr>
      </w:pPr>
      <w:r w:rsidRPr="0069747B">
        <w:rPr>
          <w:lang w:val="fr-FR"/>
        </w:rPr>
        <w:t xml:space="preserve">Le PAP QE </w:t>
      </w:r>
      <w:r>
        <w:rPr>
          <w:lang w:val="fr-FR"/>
        </w:rPr>
        <w:t>« </w:t>
      </w:r>
      <w:r w:rsidRPr="0069747B">
        <w:rPr>
          <w:lang w:val="fr-FR"/>
        </w:rPr>
        <w:t>Kirchberg Grünewald Nord</w:t>
      </w:r>
      <w:r>
        <w:rPr>
          <w:lang w:val="fr-FR"/>
        </w:rPr>
        <w:t> »</w:t>
      </w:r>
      <w:r w:rsidRPr="0069747B">
        <w:rPr>
          <w:lang w:val="fr-FR"/>
        </w:rPr>
        <w:t xml:space="preserve"> - [KIR-</w:t>
      </w:r>
      <w:proofErr w:type="spellStart"/>
      <w:r w:rsidRPr="0069747B">
        <w:rPr>
          <w:lang w:val="fr-FR"/>
        </w:rPr>
        <w:t>gn</w:t>
      </w:r>
      <w:proofErr w:type="spellEnd"/>
      <w:r w:rsidRPr="0069747B">
        <w:rPr>
          <w:lang w:val="fr-FR"/>
        </w:rPr>
        <w:t>]</w:t>
      </w:r>
    </w:p>
    <w:p w14:paraId="0E2372E5" w14:textId="289B1FA9" w:rsidR="0069747B" w:rsidRPr="0069747B" w:rsidRDefault="0069747B" w:rsidP="0069747B">
      <w:pPr>
        <w:pStyle w:val="ListParagraph"/>
        <w:numPr>
          <w:ilvl w:val="0"/>
          <w:numId w:val="8"/>
        </w:numPr>
        <w:rPr>
          <w:lang w:val="fr-FR"/>
        </w:rPr>
      </w:pPr>
      <w:r w:rsidRPr="0069747B">
        <w:rPr>
          <w:lang w:val="fr-FR"/>
        </w:rPr>
        <w:t xml:space="preserve">Le PAP QE </w:t>
      </w:r>
      <w:r>
        <w:rPr>
          <w:lang w:val="fr-FR"/>
        </w:rPr>
        <w:t>« </w:t>
      </w:r>
      <w:r w:rsidRPr="0069747B">
        <w:rPr>
          <w:lang w:val="fr-FR"/>
        </w:rPr>
        <w:t>Kirchberg Grünewald Sud</w:t>
      </w:r>
      <w:r>
        <w:rPr>
          <w:lang w:val="fr-FR"/>
        </w:rPr>
        <w:t> »</w:t>
      </w:r>
      <w:r w:rsidRPr="0069747B">
        <w:rPr>
          <w:lang w:val="fr-FR"/>
        </w:rPr>
        <w:t xml:space="preserve"> - [KIR-</w:t>
      </w:r>
      <w:proofErr w:type="spellStart"/>
      <w:r w:rsidRPr="0069747B">
        <w:rPr>
          <w:lang w:val="fr-FR"/>
        </w:rPr>
        <w:t>gs</w:t>
      </w:r>
      <w:proofErr w:type="spellEnd"/>
      <w:r w:rsidRPr="0069747B">
        <w:rPr>
          <w:lang w:val="fr-FR"/>
        </w:rPr>
        <w:t>]</w:t>
      </w:r>
    </w:p>
    <w:p w14:paraId="00FB6801" w14:textId="2AC9658C" w:rsidR="0069747B" w:rsidRPr="0069747B" w:rsidRDefault="0069747B" w:rsidP="0069747B">
      <w:pPr>
        <w:rPr>
          <w:lang w:val="fr-FR"/>
        </w:rPr>
      </w:pPr>
      <w:r w:rsidRPr="0069747B">
        <w:rPr>
          <w:lang w:val="fr-FR"/>
        </w:rPr>
        <w:t>Les constructions existantes peuvent être rénovées et transformées à moins que des raiso</w:t>
      </w:r>
      <w:r>
        <w:rPr>
          <w:lang w:val="fr-FR"/>
        </w:rPr>
        <w:t>ns de sécurité ne s’y opposent.</w:t>
      </w:r>
    </w:p>
    <w:p w14:paraId="47D1934E" w14:textId="635FDE52" w:rsidR="0069747B" w:rsidRPr="0069747B" w:rsidRDefault="0069747B" w:rsidP="0069747B">
      <w:pPr>
        <w:pStyle w:val="Heading2"/>
        <w:rPr>
          <w:lang w:val="fr-FR"/>
        </w:rPr>
      </w:pPr>
      <w:r w:rsidRPr="0069747B">
        <w:rPr>
          <w:lang w:val="fr-FR"/>
        </w:rPr>
        <w:t xml:space="preserve">E.5 Le PAP QE </w:t>
      </w:r>
      <w:r>
        <w:rPr>
          <w:lang w:val="fr-FR"/>
        </w:rPr>
        <w:t>« </w:t>
      </w:r>
      <w:r w:rsidRPr="0069747B">
        <w:rPr>
          <w:lang w:val="fr-FR"/>
        </w:rPr>
        <w:t>Kirchberg Grünewald Sud</w:t>
      </w:r>
      <w:r>
        <w:rPr>
          <w:lang w:val="fr-FR"/>
        </w:rPr>
        <w:t> »</w:t>
      </w:r>
      <w:r w:rsidRPr="0069747B">
        <w:rPr>
          <w:lang w:val="fr-FR"/>
        </w:rPr>
        <w:t xml:space="preserve"> – [KIR-</w:t>
      </w:r>
      <w:proofErr w:type="spellStart"/>
      <w:r w:rsidRPr="0069747B">
        <w:rPr>
          <w:lang w:val="fr-FR"/>
        </w:rPr>
        <w:t>gs</w:t>
      </w:r>
      <w:proofErr w:type="spellEnd"/>
      <w:r w:rsidRPr="0069747B">
        <w:rPr>
          <w:lang w:val="fr-FR"/>
        </w:rPr>
        <w:t>]</w:t>
      </w:r>
    </w:p>
    <w:p w14:paraId="4E0CDFDE" w14:textId="232FF746" w:rsidR="0069747B" w:rsidRPr="0069747B" w:rsidRDefault="0069747B" w:rsidP="0069747B">
      <w:pPr>
        <w:rPr>
          <w:lang w:val="fr-FR"/>
        </w:rPr>
      </w:pPr>
      <w:r w:rsidRPr="0069747B">
        <w:rPr>
          <w:lang w:val="fr-FR"/>
        </w:rPr>
        <w:t>Le présent PAP QE c</w:t>
      </w:r>
      <w:r>
        <w:rPr>
          <w:lang w:val="fr-FR"/>
        </w:rPr>
        <w:t>omprend</w:t>
      </w:r>
      <w:r w:rsidRPr="0069747B">
        <w:rPr>
          <w:lang w:val="fr-FR"/>
        </w:rPr>
        <w:t>:</w:t>
      </w:r>
    </w:p>
    <w:p w14:paraId="5EF5265B" w14:textId="72B7B4C4" w:rsidR="0069747B" w:rsidRPr="0069747B" w:rsidRDefault="0069747B" w:rsidP="0069747B">
      <w:pPr>
        <w:pStyle w:val="ListParagraph"/>
        <w:numPr>
          <w:ilvl w:val="0"/>
          <w:numId w:val="10"/>
        </w:numPr>
        <w:rPr>
          <w:lang w:val="fr-FR"/>
        </w:rPr>
      </w:pPr>
      <w:proofErr w:type="gramStart"/>
      <w:r w:rsidRPr="0069747B">
        <w:rPr>
          <w:lang w:val="fr-FR"/>
        </w:rPr>
        <w:t>la</w:t>
      </w:r>
      <w:proofErr w:type="gramEnd"/>
      <w:r w:rsidRPr="0069747B">
        <w:rPr>
          <w:lang w:val="fr-FR"/>
        </w:rPr>
        <w:t xml:space="preserve"> partie graphique (PG),</w:t>
      </w:r>
    </w:p>
    <w:p w14:paraId="7DCD61AC" w14:textId="202C3562" w:rsidR="0069747B" w:rsidRPr="0069747B" w:rsidRDefault="0069747B" w:rsidP="0069747B">
      <w:pPr>
        <w:pStyle w:val="ListParagraph"/>
        <w:numPr>
          <w:ilvl w:val="0"/>
          <w:numId w:val="10"/>
        </w:numPr>
        <w:rPr>
          <w:lang w:val="fr-FR"/>
        </w:rPr>
      </w:pPr>
      <w:proofErr w:type="gramStart"/>
      <w:r w:rsidRPr="0069747B">
        <w:rPr>
          <w:lang w:val="fr-FR"/>
        </w:rPr>
        <w:t>la</w:t>
      </w:r>
      <w:proofErr w:type="gramEnd"/>
      <w:r w:rsidRPr="0069747B">
        <w:rPr>
          <w:lang w:val="fr-FR"/>
        </w:rPr>
        <w:t xml:space="preserve"> partie écrite (PE)</w:t>
      </w:r>
    </w:p>
    <w:p w14:paraId="4B2903E9" w14:textId="77777777" w:rsidR="0069747B" w:rsidRPr="0069747B" w:rsidRDefault="0069747B" w:rsidP="0069747B">
      <w:pPr>
        <w:pStyle w:val="Heading3"/>
        <w:rPr>
          <w:lang w:val="fr-FR"/>
        </w:rPr>
      </w:pPr>
      <w:r w:rsidRPr="0069747B">
        <w:rPr>
          <w:lang w:val="fr-FR"/>
        </w:rPr>
        <w:t>E.5.1 La destination</w:t>
      </w:r>
    </w:p>
    <w:p w14:paraId="7F87E85E" w14:textId="29A195CC" w:rsidR="0069747B" w:rsidRPr="0069747B" w:rsidRDefault="0069747B" w:rsidP="0069747B">
      <w:pPr>
        <w:rPr>
          <w:lang w:val="fr-FR"/>
        </w:rPr>
      </w:pPr>
      <w:r w:rsidRPr="0069747B">
        <w:rPr>
          <w:lang w:val="fr-FR"/>
        </w:rPr>
        <w:t xml:space="preserve">Le PAP QE </w:t>
      </w:r>
      <w:r>
        <w:rPr>
          <w:lang w:val="fr-FR"/>
        </w:rPr>
        <w:t>« </w:t>
      </w:r>
      <w:r w:rsidRPr="0069747B">
        <w:rPr>
          <w:lang w:val="fr-FR"/>
        </w:rPr>
        <w:t>Kirchberg Grünewald Sud</w:t>
      </w:r>
      <w:r>
        <w:rPr>
          <w:lang w:val="fr-FR"/>
        </w:rPr>
        <w:t> »</w:t>
      </w:r>
      <w:r w:rsidRPr="0069747B">
        <w:rPr>
          <w:lang w:val="fr-FR"/>
        </w:rPr>
        <w:t xml:space="preserve"> couvre </w:t>
      </w:r>
      <w:r>
        <w:rPr>
          <w:lang w:val="fr-FR"/>
        </w:rPr>
        <w:t>les zones suivantes dans le PAG</w:t>
      </w:r>
      <w:r w:rsidRPr="0069747B">
        <w:rPr>
          <w:lang w:val="fr-FR"/>
        </w:rPr>
        <w:t>:</w:t>
      </w:r>
    </w:p>
    <w:p w14:paraId="1BEA5F7A" w14:textId="6B42E440" w:rsidR="0069747B" w:rsidRPr="0069747B" w:rsidRDefault="0069747B" w:rsidP="0069747B">
      <w:pPr>
        <w:pStyle w:val="ListParagraph"/>
        <w:numPr>
          <w:ilvl w:val="0"/>
          <w:numId w:val="12"/>
        </w:numPr>
        <w:rPr>
          <w:lang w:val="fr-FR"/>
        </w:rPr>
      </w:pPr>
      <w:r w:rsidRPr="0069747B">
        <w:rPr>
          <w:lang w:val="fr-FR"/>
        </w:rPr>
        <w:t>La zone d’habitation 2 [HAB-2]</w:t>
      </w:r>
    </w:p>
    <w:p w14:paraId="095D9295" w14:textId="35221CC3" w:rsidR="0069747B" w:rsidRPr="0069747B" w:rsidRDefault="0069747B" w:rsidP="0069747B">
      <w:pPr>
        <w:pStyle w:val="ListParagraph"/>
        <w:numPr>
          <w:ilvl w:val="0"/>
          <w:numId w:val="12"/>
        </w:numPr>
        <w:rPr>
          <w:lang w:val="fr-FR"/>
        </w:rPr>
      </w:pPr>
      <w:r w:rsidRPr="0069747B">
        <w:rPr>
          <w:lang w:val="fr-FR"/>
        </w:rPr>
        <w:t>La zone mixte urbaine centrale [</w:t>
      </w:r>
      <w:proofErr w:type="spellStart"/>
      <w:r w:rsidRPr="0069747B">
        <w:rPr>
          <w:lang w:val="fr-FR"/>
        </w:rPr>
        <w:t>MIX-c</w:t>
      </w:r>
      <w:proofErr w:type="spellEnd"/>
      <w:r w:rsidRPr="0069747B">
        <w:rPr>
          <w:lang w:val="fr-FR"/>
        </w:rPr>
        <w:t>]</w:t>
      </w:r>
    </w:p>
    <w:p w14:paraId="65CD07A3" w14:textId="48AD9546" w:rsidR="0069747B" w:rsidRPr="0069747B" w:rsidRDefault="0069747B" w:rsidP="0069747B">
      <w:pPr>
        <w:pStyle w:val="ListParagraph"/>
        <w:numPr>
          <w:ilvl w:val="0"/>
          <w:numId w:val="12"/>
        </w:numPr>
        <w:rPr>
          <w:lang w:val="fr-FR"/>
        </w:rPr>
      </w:pPr>
      <w:r w:rsidRPr="0069747B">
        <w:rPr>
          <w:lang w:val="fr-FR"/>
        </w:rPr>
        <w:t>La zone de bâtiments et d’équipements publics [BEP]</w:t>
      </w:r>
    </w:p>
    <w:p w14:paraId="05AAEA2F" w14:textId="3AC83088" w:rsidR="0069747B" w:rsidRPr="0069747B" w:rsidRDefault="0069747B" w:rsidP="0069747B">
      <w:pPr>
        <w:pStyle w:val="Heading4"/>
        <w:rPr>
          <w:lang w:val="fr-FR"/>
        </w:rPr>
      </w:pPr>
      <w:r>
        <w:rPr>
          <w:lang w:val="fr-FR"/>
        </w:rPr>
        <w:t xml:space="preserve">E.5.1.1 </w:t>
      </w:r>
      <w:r w:rsidRPr="0069747B">
        <w:rPr>
          <w:lang w:val="fr-FR"/>
        </w:rPr>
        <w:t>La zone d’habitation 2 [HAB-2]</w:t>
      </w:r>
    </w:p>
    <w:p w14:paraId="08E6CB1E" w14:textId="77777777" w:rsidR="0069747B" w:rsidRPr="0069747B" w:rsidRDefault="0069747B" w:rsidP="0069747B">
      <w:pPr>
        <w:rPr>
          <w:lang w:val="fr-FR"/>
        </w:rPr>
      </w:pPr>
      <w:r w:rsidRPr="0069747B">
        <w:rPr>
          <w:lang w:val="fr-FR"/>
        </w:rPr>
        <w:t>La zone d’habitation 2 est composée des lots: H2, H3, H4, H5, H6, H7, H8, H9, H10, H11, H12, H13, H14, H15, H16, H17, H18, et H19.</w:t>
      </w:r>
    </w:p>
    <w:p w14:paraId="190B00AA" w14:textId="77777777" w:rsidR="0069747B" w:rsidRPr="0069747B" w:rsidRDefault="0069747B" w:rsidP="0069747B">
      <w:pPr>
        <w:rPr>
          <w:lang w:val="fr-FR"/>
        </w:rPr>
      </w:pPr>
      <w:r w:rsidRPr="0069747B">
        <w:rPr>
          <w:lang w:val="fr-FR"/>
        </w:rPr>
        <w:lastRenderedPageBreak/>
        <w:t>Mis à part pour les lots H2, H12 et H13, les constructions de la zone d’habitation 2 sont destinées exclusivement à l’habitation. Une mixité de type et de taille de logements par immeuble est requise.</w:t>
      </w:r>
    </w:p>
    <w:p w14:paraId="5625272A" w14:textId="77777777" w:rsidR="0069747B" w:rsidRPr="0069747B" w:rsidRDefault="0069747B" w:rsidP="0069747B">
      <w:pPr>
        <w:rPr>
          <w:lang w:val="fr-FR"/>
        </w:rPr>
      </w:pPr>
      <w:r w:rsidRPr="0069747B">
        <w:rPr>
          <w:lang w:val="fr-FR"/>
        </w:rPr>
        <w:t>Les rez-de-chaussée des lots H2 et H13 et l’ensemble de la construction du lot H12 pourront recevoir des fonctions autres que l’habitation.</w:t>
      </w:r>
    </w:p>
    <w:p w14:paraId="6A5C52F1" w14:textId="77777777" w:rsidR="0069747B" w:rsidRPr="0069747B" w:rsidRDefault="0069747B" w:rsidP="0069747B">
      <w:pPr>
        <w:rPr>
          <w:lang w:val="fr-FR"/>
        </w:rPr>
      </w:pPr>
      <w:r w:rsidRPr="0069747B">
        <w:rPr>
          <w:lang w:val="fr-FR"/>
        </w:rPr>
        <w:t>Des terrasses pour les restaurants et les débits de boissons sont autorisées dans les espaces libres privatifs ou publics, respectivement le domaine public.</w:t>
      </w:r>
    </w:p>
    <w:p w14:paraId="72E6DBD6" w14:textId="1DE7790E" w:rsidR="0069747B" w:rsidRPr="0069747B" w:rsidRDefault="0069747B" w:rsidP="0069747B">
      <w:pPr>
        <w:pStyle w:val="Heading5"/>
        <w:rPr>
          <w:lang w:val="fr-FR"/>
        </w:rPr>
      </w:pPr>
      <w:r>
        <w:rPr>
          <w:lang w:val="fr-FR"/>
        </w:rPr>
        <w:t xml:space="preserve">E.5.1.1.1 </w:t>
      </w:r>
      <w:r w:rsidRPr="0069747B">
        <w:rPr>
          <w:lang w:val="fr-FR"/>
        </w:rPr>
        <w:t>Le nombre de logements</w:t>
      </w:r>
    </w:p>
    <w:p w14:paraId="1D8C9D5A" w14:textId="28BC17D2" w:rsidR="0069747B" w:rsidRPr="0069747B" w:rsidRDefault="0069747B" w:rsidP="0069747B">
      <w:pPr>
        <w:rPr>
          <w:lang w:val="fr-FR"/>
        </w:rPr>
      </w:pPr>
      <w:r w:rsidRPr="0069747B">
        <w:rPr>
          <w:lang w:val="fr-FR"/>
        </w:rPr>
        <w:t>Lot H2</w:t>
      </w:r>
      <w:r>
        <w:rPr>
          <w:lang w:val="fr-FR"/>
        </w:rPr>
        <w:t>:</w:t>
      </w:r>
      <w:r>
        <w:rPr>
          <w:lang w:val="fr-FR"/>
        </w:rPr>
        <w:tab/>
      </w:r>
      <w:r>
        <w:rPr>
          <w:lang w:val="fr-FR"/>
        </w:rPr>
        <w:tab/>
      </w:r>
      <w:r w:rsidRPr="0069747B">
        <w:rPr>
          <w:lang w:val="fr-FR"/>
        </w:rPr>
        <w:t>entre 70 et 85 logements</w:t>
      </w:r>
    </w:p>
    <w:p w14:paraId="367D3BDF" w14:textId="10EA8216" w:rsidR="0069747B" w:rsidRPr="0069747B" w:rsidRDefault="0069747B" w:rsidP="0069747B">
      <w:pPr>
        <w:rPr>
          <w:lang w:val="fr-FR"/>
        </w:rPr>
      </w:pPr>
      <w:r w:rsidRPr="0069747B">
        <w:rPr>
          <w:lang w:val="fr-FR"/>
        </w:rPr>
        <w:t>Lot H3</w:t>
      </w:r>
      <w:r>
        <w:rPr>
          <w:lang w:val="fr-FR"/>
        </w:rPr>
        <w:t>:</w:t>
      </w:r>
      <w:r>
        <w:rPr>
          <w:lang w:val="fr-FR"/>
        </w:rPr>
        <w:tab/>
      </w:r>
      <w:r>
        <w:rPr>
          <w:lang w:val="fr-FR"/>
        </w:rPr>
        <w:tab/>
      </w:r>
      <w:r w:rsidRPr="0069747B">
        <w:rPr>
          <w:lang w:val="fr-FR"/>
        </w:rPr>
        <w:t>entre 25 et 35 logements</w:t>
      </w:r>
    </w:p>
    <w:p w14:paraId="7D6E99FF" w14:textId="52EAA7F5" w:rsidR="0069747B" w:rsidRPr="0069747B" w:rsidRDefault="0069747B" w:rsidP="0069747B">
      <w:pPr>
        <w:rPr>
          <w:lang w:val="fr-FR"/>
        </w:rPr>
      </w:pPr>
      <w:r w:rsidRPr="0069747B">
        <w:rPr>
          <w:lang w:val="fr-FR"/>
        </w:rPr>
        <w:t>Lot H4:</w:t>
      </w:r>
      <w:r w:rsidRPr="0069747B">
        <w:rPr>
          <w:lang w:val="fr-FR"/>
        </w:rPr>
        <w:tab/>
      </w:r>
      <w:r>
        <w:rPr>
          <w:lang w:val="fr-FR"/>
        </w:rPr>
        <w:tab/>
      </w:r>
      <w:r w:rsidRPr="0069747B">
        <w:rPr>
          <w:lang w:val="fr-FR"/>
        </w:rPr>
        <w:t>entre 25 et 35 logements</w:t>
      </w:r>
    </w:p>
    <w:p w14:paraId="1716D07D" w14:textId="0F3A4596" w:rsidR="0069747B" w:rsidRPr="0069747B" w:rsidRDefault="0069747B" w:rsidP="0069747B">
      <w:pPr>
        <w:rPr>
          <w:lang w:val="fr-FR"/>
        </w:rPr>
      </w:pPr>
      <w:r w:rsidRPr="0069747B">
        <w:rPr>
          <w:lang w:val="fr-FR"/>
        </w:rPr>
        <w:t>Lot H5:</w:t>
      </w:r>
      <w:r w:rsidRPr="0069747B">
        <w:rPr>
          <w:lang w:val="fr-FR"/>
        </w:rPr>
        <w:tab/>
      </w:r>
      <w:r>
        <w:rPr>
          <w:lang w:val="fr-FR"/>
        </w:rPr>
        <w:tab/>
      </w:r>
      <w:r w:rsidRPr="0069747B">
        <w:rPr>
          <w:lang w:val="fr-FR"/>
        </w:rPr>
        <w:t>entre 25 et 35 logements</w:t>
      </w:r>
    </w:p>
    <w:p w14:paraId="614900D5" w14:textId="498C4E54" w:rsidR="0069747B" w:rsidRPr="0069747B" w:rsidRDefault="0069747B" w:rsidP="0069747B">
      <w:pPr>
        <w:rPr>
          <w:lang w:val="fr-FR"/>
        </w:rPr>
      </w:pPr>
      <w:r w:rsidRPr="0069747B">
        <w:rPr>
          <w:lang w:val="fr-FR"/>
        </w:rPr>
        <w:t>Lot H6:</w:t>
      </w:r>
      <w:r w:rsidRPr="0069747B">
        <w:rPr>
          <w:lang w:val="fr-FR"/>
        </w:rPr>
        <w:tab/>
      </w:r>
      <w:r>
        <w:rPr>
          <w:lang w:val="fr-FR"/>
        </w:rPr>
        <w:tab/>
      </w:r>
      <w:r w:rsidRPr="0069747B">
        <w:rPr>
          <w:lang w:val="fr-FR"/>
        </w:rPr>
        <w:t>entre 25 et 35 logements</w:t>
      </w:r>
    </w:p>
    <w:p w14:paraId="48B1D8C6" w14:textId="26A5C741" w:rsidR="0069747B" w:rsidRPr="0069747B" w:rsidRDefault="0069747B" w:rsidP="0069747B">
      <w:pPr>
        <w:rPr>
          <w:lang w:val="fr-FR"/>
        </w:rPr>
      </w:pPr>
      <w:r>
        <w:rPr>
          <w:lang w:val="fr-FR"/>
        </w:rPr>
        <w:t>Lot H7</w:t>
      </w:r>
      <w:r w:rsidRPr="0069747B">
        <w:rPr>
          <w:lang w:val="fr-FR"/>
        </w:rPr>
        <w:t>:</w:t>
      </w:r>
      <w:r>
        <w:rPr>
          <w:lang w:val="fr-FR"/>
        </w:rPr>
        <w:tab/>
      </w:r>
      <w:r w:rsidRPr="0069747B">
        <w:rPr>
          <w:lang w:val="fr-FR"/>
        </w:rPr>
        <w:tab/>
        <w:t>entre 20 et 30 logements</w:t>
      </w:r>
    </w:p>
    <w:p w14:paraId="69D60542" w14:textId="40D9E12E" w:rsidR="0069747B" w:rsidRPr="0069747B" w:rsidRDefault="0069747B" w:rsidP="0069747B">
      <w:pPr>
        <w:rPr>
          <w:lang w:val="fr-FR"/>
        </w:rPr>
      </w:pPr>
      <w:r w:rsidRPr="0069747B">
        <w:rPr>
          <w:lang w:val="fr-FR"/>
        </w:rPr>
        <w:t>Lot H8:</w:t>
      </w:r>
      <w:r w:rsidRPr="0069747B">
        <w:rPr>
          <w:lang w:val="fr-FR"/>
        </w:rPr>
        <w:tab/>
      </w:r>
      <w:r>
        <w:rPr>
          <w:lang w:val="fr-FR"/>
        </w:rPr>
        <w:tab/>
      </w:r>
      <w:r w:rsidRPr="0069747B">
        <w:rPr>
          <w:lang w:val="fr-FR"/>
        </w:rPr>
        <w:t>entre 20 et 30 logements</w:t>
      </w:r>
    </w:p>
    <w:p w14:paraId="5294B34E" w14:textId="01A07004" w:rsidR="0069747B" w:rsidRPr="0069747B" w:rsidRDefault="0069747B" w:rsidP="0069747B">
      <w:pPr>
        <w:rPr>
          <w:lang w:val="fr-FR"/>
        </w:rPr>
      </w:pPr>
      <w:r>
        <w:rPr>
          <w:lang w:val="fr-FR"/>
        </w:rPr>
        <w:t>Lot H9</w:t>
      </w:r>
      <w:r w:rsidRPr="0069747B">
        <w:rPr>
          <w:lang w:val="fr-FR"/>
        </w:rPr>
        <w:t>:</w:t>
      </w:r>
      <w:r>
        <w:rPr>
          <w:lang w:val="fr-FR"/>
        </w:rPr>
        <w:tab/>
      </w:r>
      <w:r w:rsidRPr="0069747B">
        <w:rPr>
          <w:lang w:val="fr-FR"/>
        </w:rPr>
        <w:tab/>
        <w:t>entre 20 et 30 logements</w:t>
      </w:r>
    </w:p>
    <w:p w14:paraId="2DAF9A9E" w14:textId="627F65A0" w:rsidR="0069747B" w:rsidRPr="0069747B" w:rsidRDefault="0069747B" w:rsidP="0069747B">
      <w:pPr>
        <w:rPr>
          <w:lang w:val="fr-FR"/>
        </w:rPr>
      </w:pPr>
      <w:r w:rsidRPr="0069747B">
        <w:rPr>
          <w:lang w:val="fr-FR"/>
        </w:rPr>
        <w:t>Lot H10:</w:t>
      </w:r>
      <w:r w:rsidRPr="0069747B">
        <w:rPr>
          <w:lang w:val="fr-FR"/>
        </w:rPr>
        <w:tab/>
        <w:t>entre 20 et 30 logements</w:t>
      </w:r>
    </w:p>
    <w:p w14:paraId="44CB6CB9" w14:textId="4C6AA628" w:rsidR="0069747B" w:rsidRPr="0069747B" w:rsidRDefault="0069747B" w:rsidP="0069747B">
      <w:pPr>
        <w:rPr>
          <w:lang w:val="fr-FR"/>
        </w:rPr>
      </w:pPr>
      <w:r w:rsidRPr="0069747B">
        <w:rPr>
          <w:lang w:val="fr-FR"/>
        </w:rPr>
        <w:t>Lot H11:</w:t>
      </w:r>
      <w:r w:rsidRPr="0069747B">
        <w:rPr>
          <w:lang w:val="fr-FR"/>
        </w:rPr>
        <w:tab/>
        <w:t>entre 20 et 30 logements</w:t>
      </w:r>
    </w:p>
    <w:p w14:paraId="4B16E06E" w14:textId="3275301D" w:rsidR="0069747B" w:rsidRPr="0069747B" w:rsidRDefault="0069747B" w:rsidP="0069747B">
      <w:pPr>
        <w:rPr>
          <w:lang w:val="fr-FR"/>
        </w:rPr>
      </w:pPr>
      <w:r w:rsidRPr="0069747B">
        <w:rPr>
          <w:lang w:val="fr-FR"/>
        </w:rPr>
        <w:t>Lot H13:</w:t>
      </w:r>
      <w:r w:rsidRPr="0069747B">
        <w:rPr>
          <w:lang w:val="fr-FR"/>
        </w:rPr>
        <w:tab/>
        <w:t>entre 65 et 75 logements</w:t>
      </w:r>
    </w:p>
    <w:p w14:paraId="47ACB307" w14:textId="54C38B5F" w:rsidR="0069747B" w:rsidRPr="0069747B" w:rsidRDefault="0069747B" w:rsidP="0069747B">
      <w:pPr>
        <w:rPr>
          <w:lang w:val="fr-FR"/>
        </w:rPr>
      </w:pPr>
      <w:r w:rsidRPr="0069747B">
        <w:rPr>
          <w:lang w:val="fr-FR"/>
        </w:rPr>
        <w:t>Lot H14:</w:t>
      </w:r>
      <w:r w:rsidRPr="0069747B">
        <w:rPr>
          <w:lang w:val="fr-FR"/>
        </w:rPr>
        <w:tab/>
        <w:t>entre 30 et 40 logements</w:t>
      </w:r>
    </w:p>
    <w:p w14:paraId="475CEFEE" w14:textId="6CC6963F" w:rsidR="0069747B" w:rsidRPr="0069747B" w:rsidRDefault="0069747B" w:rsidP="0069747B">
      <w:pPr>
        <w:rPr>
          <w:lang w:val="fr-FR"/>
        </w:rPr>
      </w:pPr>
      <w:r w:rsidRPr="0069747B">
        <w:rPr>
          <w:lang w:val="fr-FR"/>
        </w:rPr>
        <w:t>Lot H15:</w:t>
      </w:r>
      <w:r w:rsidRPr="0069747B">
        <w:rPr>
          <w:lang w:val="fr-FR"/>
        </w:rPr>
        <w:tab/>
        <w:t>entre 25 et 35 logements</w:t>
      </w:r>
    </w:p>
    <w:p w14:paraId="536D55E0" w14:textId="197EEDD1" w:rsidR="0069747B" w:rsidRPr="0069747B" w:rsidRDefault="0069747B" w:rsidP="0069747B">
      <w:pPr>
        <w:rPr>
          <w:lang w:val="fr-FR"/>
        </w:rPr>
      </w:pPr>
      <w:r w:rsidRPr="0069747B">
        <w:rPr>
          <w:lang w:val="fr-FR"/>
        </w:rPr>
        <w:t>Lot H16:</w:t>
      </w:r>
      <w:r w:rsidRPr="0069747B">
        <w:rPr>
          <w:lang w:val="fr-FR"/>
        </w:rPr>
        <w:tab/>
        <w:t>entre 25 et 35 logements</w:t>
      </w:r>
    </w:p>
    <w:p w14:paraId="2484591B" w14:textId="35763960" w:rsidR="0069747B" w:rsidRPr="0069747B" w:rsidRDefault="0069747B" w:rsidP="0069747B">
      <w:pPr>
        <w:rPr>
          <w:lang w:val="fr-FR"/>
        </w:rPr>
      </w:pPr>
      <w:r w:rsidRPr="0069747B">
        <w:rPr>
          <w:lang w:val="fr-FR"/>
        </w:rPr>
        <w:t>Lot H17:</w:t>
      </w:r>
      <w:r w:rsidRPr="0069747B">
        <w:rPr>
          <w:lang w:val="fr-FR"/>
        </w:rPr>
        <w:tab/>
        <w:t>entre 30 et 40 logements</w:t>
      </w:r>
    </w:p>
    <w:p w14:paraId="045B156A" w14:textId="1383F889" w:rsidR="0069747B" w:rsidRPr="0069747B" w:rsidRDefault="0069747B" w:rsidP="0069747B">
      <w:pPr>
        <w:rPr>
          <w:lang w:val="fr-FR"/>
        </w:rPr>
      </w:pPr>
      <w:r w:rsidRPr="0069747B">
        <w:rPr>
          <w:lang w:val="fr-FR"/>
        </w:rPr>
        <w:t>Lot H18:</w:t>
      </w:r>
      <w:r w:rsidRPr="0069747B">
        <w:rPr>
          <w:lang w:val="fr-FR"/>
        </w:rPr>
        <w:tab/>
        <w:t>entre 25 et 35 logements</w:t>
      </w:r>
    </w:p>
    <w:p w14:paraId="35512441" w14:textId="48E25F62" w:rsidR="0069747B" w:rsidRPr="0069747B" w:rsidRDefault="0069747B" w:rsidP="0069747B">
      <w:pPr>
        <w:rPr>
          <w:lang w:val="fr-FR"/>
        </w:rPr>
      </w:pPr>
      <w:r w:rsidRPr="0069747B">
        <w:rPr>
          <w:lang w:val="fr-FR"/>
        </w:rPr>
        <w:t>Lot H19:</w:t>
      </w:r>
      <w:r w:rsidRPr="0069747B">
        <w:rPr>
          <w:lang w:val="fr-FR"/>
        </w:rPr>
        <w:tab/>
        <w:t>entre 25 et 35 logements</w:t>
      </w:r>
    </w:p>
    <w:p w14:paraId="04E8938E" w14:textId="342499A1" w:rsidR="0069747B" w:rsidRPr="0069747B" w:rsidRDefault="0069747B" w:rsidP="0069747B">
      <w:pPr>
        <w:pStyle w:val="Heading4"/>
        <w:rPr>
          <w:lang w:val="fr-FR"/>
        </w:rPr>
      </w:pPr>
      <w:r>
        <w:rPr>
          <w:lang w:val="fr-FR"/>
        </w:rPr>
        <w:t xml:space="preserve">E.5.1.2 </w:t>
      </w:r>
      <w:r w:rsidRPr="0069747B">
        <w:rPr>
          <w:lang w:val="fr-FR"/>
        </w:rPr>
        <w:t>La zone mixte centrale [</w:t>
      </w:r>
      <w:proofErr w:type="spellStart"/>
      <w:r w:rsidRPr="0069747B">
        <w:rPr>
          <w:lang w:val="fr-FR"/>
        </w:rPr>
        <w:t>MIX-c</w:t>
      </w:r>
      <w:proofErr w:type="spellEnd"/>
      <w:r w:rsidRPr="0069747B">
        <w:rPr>
          <w:lang w:val="fr-FR"/>
        </w:rPr>
        <w:t>]</w:t>
      </w:r>
    </w:p>
    <w:p w14:paraId="69715C11" w14:textId="77777777" w:rsidR="0069747B" w:rsidRPr="0069747B" w:rsidRDefault="0069747B" w:rsidP="0069747B">
      <w:pPr>
        <w:rPr>
          <w:lang w:val="fr-FR"/>
        </w:rPr>
      </w:pPr>
      <w:r w:rsidRPr="0069747B">
        <w:rPr>
          <w:lang w:val="fr-FR"/>
        </w:rPr>
        <w:t>La zone mixte centrale est composée des lots: M1a, M2a, M3a, M4a, M5a, M6a, M7a, M8a, M9a/c, M10a/c, M11A1/A2/A3/B, MA, MBC, MD et M1.</w:t>
      </w:r>
    </w:p>
    <w:p w14:paraId="3CE5DBD5" w14:textId="77777777" w:rsidR="0069747B" w:rsidRPr="0069747B" w:rsidRDefault="0069747B" w:rsidP="0069747B">
      <w:pPr>
        <w:rPr>
          <w:lang w:val="fr-FR"/>
        </w:rPr>
      </w:pPr>
      <w:r w:rsidRPr="0069747B">
        <w:rPr>
          <w:lang w:val="fr-FR"/>
        </w:rPr>
        <w:t>Les constructions de la zone mixte centrale sont destinées à accueillir des services administratifs et professionnels, des commerces, des établissements à caractère artisanal, des activités de loisirs, des hôtels, des restaurants et des débits de boissons, des équipements de service public et privé, de l’habitation et des espaces libres correspondant à l’ensemble de ces fonctions.</w:t>
      </w:r>
    </w:p>
    <w:p w14:paraId="592F442F" w14:textId="77777777" w:rsidR="0069747B" w:rsidRPr="0069747B" w:rsidRDefault="0069747B" w:rsidP="0069747B">
      <w:pPr>
        <w:rPr>
          <w:lang w:val="fr-FR"/>
        </w:rPr>
      </w:pPr>
      <w:r w:rsidRPr="0069747B">
        <w:rPr>
          <w:lang w:val="fr-FR"/>
        </w:rPr>
        <w:t>Des surfaces commerciales et de restauration sont à prévoir au rez-de-chaussée des immeubles des lots M7a, M8a, M11 et MD, à raison d’au moins 65% de la surface brute du RDC.</w:t>
      </w:r>
    </w:p>
    <w:p w14:paraId="055795B2" w14:textId="77777777" w:rsidR="0069747B" w:rsidRPr="0069747B" w:rsidRDefault="0069747B" w:rsidP="0069747B">
      <w:pPr>
        <w:rPr>
          <w:lang w:val="fr-FR"/>
        </w:rPr>
      </w:pPr>
      <w:r w:rsidRPr="0069747B">
        <w:rPr>
          <w:lang w:val="fr-FR"/>
        </w:rPr>
        <w:lastRenderedPageBreak/>
        <w:t>Des terrasses et toitures terrasses sont autorisées dans les espaces libres privatifs ou publics, respectivement le domaine public.</w:t>
      </w:r>
    </w:p>
    <w:p w14:paraId="0C16803F" w14:textId="5732A9ED" w:rsidR="0069747B" w:rsidRPr="0069747B" w:rsidRDefault="0069747B" w:rsidP="0069747B">
      <w:pPr>
        <w:pStyle w:val="Heading4"/>
        <w:rPr>
          <w:lang w:val="fr-FR"/>
        </w:rPr>
      </w:pPr>
      <w:r>
        <w:rPr>
          <w:lang w:val="fr-FR"/>
        </w:rPr>
        <w:t xml:space="preserve">E.5.1.3 </w:t>
      </w:r>
      <w:r w:rsidRPr="0069747B">
        <w:rPr>
          <w:lang w:val="fr-FR"/>
        </w:rPr>
        <w:t>La zone de bâtiments et d’équipements publics [BEP]</w:t>
      </w:r>
    </w:p>
    <w:p w14:paraId="5642954D" w14:textId="77777777" w:rsidR="0069747B" w:rsidRPr="0069747B" w:rsidRDefault="0069747B" w:rsidP="0069747B">
      <w:pPr>
        <w:rPr>
          <w:lang w:val="fr-FR"/>
        </w:rPr>
      </w:pPr>
      <w:r w:rsidRPr="0069747B">
        <w:rPr>
          <w:lang w:val="fr-FR"/>
        </w:rPr>
        <w:t xml:space="preserve">La zone de bâtiments et d’équipements publics est composée des lots : CHK Bloc 1- Bloc 2, </w:t>
      </w:r>
      <w:proofErr w:type="spellStart"/>
      <w:r w:rsidRPr="0069747B">
        <w:rPr>
          <w:lang w:val="fr-FR"/>
        </w:rPr>
        <w:t>Elysis</w:t>
      </w:r>
      <w:proofErr w:type="spellEnd"/>
      <w:r w:rsidRPr="0069747B">
        <w:rPr>
          <w:lang w:val="fr-FR"/>
        </w:rPr>
        <w:t xml:space="preserve"> et </w:t>
      </w:r>
      <w:proofErr w:type="spellStart"/>
      <w:r w:rsidRPr="0069747B">
        <w:rPr>
          <w:lang w:val="fr-FR"/>
        </w:rPr>
        <w:t>Rehazenter</w:t>
      </w:r>
      <w:proofErr w:type="spellEnd"/>
      <w:r w:rsidRPr="0069747B">
        <w:rPr>
          <w:lang w:val="fr-FR"/>
        </w:rPr>
        <w:t>.</w:t>
      </w:r>
    </w:p>
    <w:p w14:paraId="53668F73" w14:textId="77777777" w:rsidR="0069747B" w:rsidRPr="0069747B" w:rsidRDefault="0069747B" w:rsidP="0069747B">
      <w:pPr>
        <w:rPr>
          <w:lang w:val="fr-FR"/>
        </w:rPr>
      </w:pPr>
      <w:r w:rsidRPr="0069747B">
        <w:rPr>
          <w:lang w:val="fr-FR"/>
        </w:rPr>
        <w:t>La zone de bâtiments et d’équipements publics est réservée aux constructions et aménagements d’utilité publique principalement du secteur de la santé, ainsi qu’aux affectations liées aux activités de la zone.</w:t>
      </w:r>
    </w:p>
    <w:p w14:paraId="209A1EDF" w14:textId="77777777" w:rsidR="0069747B" w:rsidRPr="0069747B" w:rsidRDefault="0069747B" w:rsidP="0069747B">
      <w:pPr>
        <w:rPr>
          <w:lang w:val="fr-FR"/>
        </w:rPr>
      </w:pPr>
      <w:r w:rsidRPr="0069747B">
        <w:rPr>
          <w:lang w:val="fr-FR"/>
        </w:rPr>
        <w:t>Y sont admis des logements de service.</w:t>
      </w:r>
    </w:p>
    <w:p w14:paraId="539F20A9" w14:textId="77777777" w:rsidR="0069747B" w:rsidRPr="0069747B" w:rsidRDefault="0069747B" w:rsidP="0069747B">
      <w:pPr>
        <w:pStyle w:val="Heading3"/>
        <w:rPr>
          <w:lang w:val="fr-FR"/>
        </w:rPr>
      </w:pPr>
      <w:r w:rsidRPr="0069747B">
        <w:rPr>
          <w:lang w:val="fr-FR"/>
        </w:rPr>
        <w:t>E.5.2 Les dispositions pour la zone d’habitation 2 – [HAB-2]</w:t>
      </w:r>
    </w:p>
    <w:p w14:paraId="1AB4D075" w14:textId="5BB3E4F8" w:rsidR="0069747B" w:rsidRPr="0069747B" w:rsidRDefault="0069747B" w:rsidP="0069747B">
      <w:pPr>
        <w:pStyle w:val="Heading4"/>
        <w:rPr>
          <w:lang w:val="fr-FR"/>
        </w:rPr>
      </w:pPr>
      <w:r>
        <w:rPr>
          <w:lang w:val="fr-FR"/>
        </w:rPr>
        <w:t xml:space="preserve">E.5.2.1 </w:t>
      </w:r>
      <w:r w:rsidRPr="0069747B">
        <w:rPr>
          <w:lang w:val="fr-FR"/>
        </w:rPr>
        <w:t>L’implantation, la profond</w:t>
      </w:r>
      <w:r>
        <w:rPr>
          <w:lang w:val="fr-FR"/>
        </w:rPr>
        <w:t>eur et les marges de reculement</w:t>
      </w:r>
    </w:p>
    <w:p w14:paraId="25ADE2E9" w14:textId="22390DB8" w:rsidR="0069747B" w:rsidRPr="0069747B" w:rsidRDefault="0069747B" w:rsidP="0069747B">
      <w:pPr>
        <w:rPr>
          <w:lang w:val="fr-FR"/>
        </w:rPr>
      </w:pPr>
      <w:r w:rsidRPr="0069747B">
        <w:rPr>
          <w:lang w:val="fr-FR"/>
        </w:rPr>
        <w:t xml:space="preserve">Mis à part les saillies définies dans l’article E.5.2.5.3, l’implantation des constructions se fera à l’intérieur des </w:t>
      </w:r>
      <w:r>
        <w:rPr>
          <w:lang w:val="fr-FR"/>
        </w:rPr>
        <w:t>« </w:t>
      </w:r>
      <w:r w:rsidRPr="0069747B">
        <w:rPr>
          <w:lang w:val="fr-FR"/>
        </w:rPr>
        <w:t>limites de surfaces constructibles pour constructions destinées au séjour prolongé</w:t>
      </w:r>
      <w:r>
        <w:rPr>
          <w:lang w:val="fr-FR"/>
        </w:rPr>
        <w:t> »</w:t>
      </w:r>
      <w:r w:rsidRPr="0069747B">
        <w:rPr>
          <w:lang w:val="fr-FR"/>
        </w:rPr>
        <w:t xml:space="preserve">, des </w:t>
      </w:r>
      <w:r>
        <w:rPr>
          <w:lang w:val="fr-FR"/>
        </w:rPr>
        <w:t>« </w:t>
      </w:r>
      <w:r w:rsidRPr="0069747B">
        <w:rPr>
          <w:lang w:val="fr-FR"/>
        </w:rPr>
        <w:t>alignements obligatoires pour constructions destinées au séjour prolongé</w:t>
      </w:r>
      <w:r>
        <w:rPr>
          <w:lang w:val="fr-FR"/>
        </w:rPr>
        <w:t> »</w:t>
      </w:r>
      <w:r w:rsidRPr="0069747B">
        <w:rPr>
          <w:lang w:val="fr-FR"/>
        </w:rPr>
        <w:t xml:space="preserve">, des </w:t>
      </w:r>
      <w:r>
        <w:rPr>
          <w:lang w:val="fr-FR"/>
        </w:rPr>
        <w:t>« </w:t>
      </w:r>
      <w:r w:rsidRPr="0069747B">
        <w:rPr>
          <w:lang w:val="fr-FR"/>
        </w:rPr>
        <w:t>limites de surface constructibles pour avant-corps</w:t>
      </w:r>
      <w:r>
        <w:rPr>
          <w:lang w:val="fr-FR"/>
        </w:rPr>
        <w:t> »</w:t>
      </w:r>
      <w:r w:rsidRPr="0069747B">
        <w:rPr>
          <w:lang w:val="fr-FR"/>
        </w:rPr>
        <w:t xml:space="preserve"> et des </w:t>
      </w:r>
      <w:r>
        <w:rPr>
          <w:lang w:val="fr-FR"/>
        </w:rPr>
        <w:t>« </w:t>
      </w:r>
      <w:r w:rsidRPr="0069747B">
        <w:rPr>
          <w:lang w:val="fr-FR"/>
        </w:rPr>
        <w:t>limites de surfaces constructibles pour constructions souterraines/</w:t>
      </w:r>
      <w:r>
        <w:rPr>
          <w:lang w:val="fr-FR"/>
        </w:rPr>
        <w:t>rez-de-jardin »</w:t>
      </w:r>
      <w:r w:rsidRPr="0069747B">
        <w:rPr>
          <w:lang w:val="fr-FR"/>
        </w:rPr>
        <w:t>, définis dans la partie graphique du PAP QE.</w:t>
      </w:r>
    </w:p>
    <w:p w14:paraId="1AE6C649" w14:textId="77777777" w:rsidR="0069747B" w:rsidRPr="0069747B" w:rsidRDefault="0069747B" w:rsidP="0069747B">
      <w:pPr>
        <w:rPr>
          <w:lang w:val="fr-FR"/>
        </w:rPr>
      </w:pPr>
      <w:r w:rsidRPr="0069747B">
        <w:rPr>
          <w:lang w:val="fr-FR"/>
        </w:rPr>
        <w:t>La profondeur des constructions est définie par la surface résultante de l’implantation maximale des constructions hors sol et en sous-sol.</w:t>
      </w:r>
    </w:p>
    <w:p w14:paraId="2251967E" w14:textId="77777777" w:rsidR="0069747B" w:rsidRPr="0069747B" w:rsidRDefault="0069747B" w:rsidP="0069747B">
      <w:pPr>
        <w:rPr>
          <w:lang w:val="fr-FR"/>
        </w:rPr>
      </w:pPr>
      <w:r w:rsidRPr="0069747B">
        <w:rPr>
          <w:lang w:val="fr-FR"/>
        </w:rPr>
        <w:t>Les reculs sur les limites antérieures, latérales et postérieures sont définis dans la partie graphique du PAP QE.</w:t>
      </w:r>
    </w:p>
    <w:p w14:paraId="2F072D8D" w14:textId="23DEBA53" w:rsidR="0069747B" w:rsidRPr="0069747B" w:rsidRDefault="0069747B" w:rsidP="0069747B">
      <w:pPr>
        <w:rPr>
          <w:lang w:val="fr-FR"/>
        </w:rPr>
      </w:pPr>
      <w:r w:rsidRPr="0069747B">
        <w:rPr>
          <w:lang w:val="fr-FR"/>
        </w:rPr>
        <w:t>La surface construite brute maximale par bâtiment peut varier par niveau entre 80% minimum et 90% maximum de l’implantation max</w:t>
      </w:r>
      <w:r>
        <w:rPr>
          <w:lang w:val="fr-FR"/>
        </w:rPr>
        <w:t>imale autorisée, hors saillies.</w:t>
      </w:r>
    </w:p>
    <w:p w14:paraId="416B4287" w14:textId="65AB22BF" w:rsidR="0069747B" w:rsidRPr="0069747B" w:rsidRDefault="0069747B" w:rsidP="0069747B">
      <w:pPr>
        <w:pStyle w:val="Heading4"/>
        <w:rPr>
          <w:lang w:val="fr-FR"/>
        </w:rPr>
      </w:pPr>
      <w:r>
        <w:rPr>
          <w:lang w:val="fr-FR"/>
        </w:rPr>
        <w:t xml:space="preserve">E.5.2.2 </w:t>
      </w:r>
      <w:r w:rsidRPr="0069747B">
        <w:rPr>
          <w:lang w:val="fr-FR"/>
        </w:rPr>
        <w:t>Les niveaux et la hauteur</w:t>
      </w:r>
    </w:p>
    <w:p w14:paraId="4AE419BF" w14:textId="77777777" w:rsidR="0069747B" w:rsidRPr="0069747B" w:rsidRDefault="0069747B" w:rsidP="0069747B">
      <w:pPr>
        <w:rPr>
          <w:lang w:val="fr-FR"/>
        </w:rPr>
      </w:pPr>
      <w:r w:rsidRPr="0069747B">
        <w:rPr>
          <w:lang w:val="fr-FR"/>
        </w:rPr>
        <w:t>Le nombre de niveaux et la hauteur à l’acrotère autorisés sont définis dans la partie graphique du PAP QE.</w:t>
      </w:r>
    </w:p>
    <w:p w14:paraId="2BBC9306" w14:textId="77777777" w:rsidR="0069747B" w:rsidRPr="0069747B" w:rsidRDefault="0069747B" w:rsidP="0069747B">
      <w:pPr>
        <w:rPr>
          <w:lang w:val="fr-FR"/>
        </w:rPr>
      </w:pPr>
      <w:r w:rsidRPr="0069747B">
        <w:rPr>
          <w:lang w:val="fr-FR"/>
        </w:rPr>
        <w:t>Pour chaque lot, le niveau d’implantation du rez-de-chaussée, respectivement du rez-de-jardin est défini dans la partie graphique du PAP QE. Une tolérance de 50 centimètres en plus ou en moins est autorisée.</w:t>
      </w:r>
    </w:p>
    <w:p w14:paraId="7C611076" w14:textId="2D4BCA72" w:rsidR="0069747B" w:rsidRPr="0069747B" w:rsidRDefault="0069747B" w:rsidP="0069747B">
      <w:pPr>
        <w:pStyle w:val="Heading4"/>
        <w:rPr>
          <w:lang w:val="fr-FR"/>
        </w:rPr>
      </w:pPr>
      <w:r w:rsidRPr="0069747B">
        <w:rPr>
          <w:lang w:val="fr-FR"/>
        </w:rPr>
        <w:t>E.5.2.3</w:t>
      </w:r>
      <w:r>
        <w:rPr>
          <w:lang w:val="fr-FR"/>
        </w:rPr>
        <w:t xml:space="preserve"> </w:t>
      </w:r>
      <w:r w:rsidRPr="0069747B">
        <w:rPr>
          <w:lang w:val="fr-FR"/>
        </w:rPr>
        <w:t>Les hauteurs libres pour les logements</w:t>
      </w:r>
    </w:p>
    <w:p w14:paraId="32C1836B" w14:textId="77777777" w:rsidR="0069747B" w:rsidRPr="0069747B" w:rsidRDefault="0069747B" w:rsidP="0069747B">
      <w:pPr>
        <w:rPr>
          <w:lang w:val="fr-FR"/>
        </w:rPr>
      </w:pPr>
      <w:r w:rsidRPr="0069747B">
        <w:rPr>
          <w:lang w:val="fr-FR"/>
        </w:rPr>
        <w:t>La hauteur libre des niveaux d’habitation est de 2,60 mètres minimum.</w:t>
      </w:r>
    </w:p>
    <w:p w14:paraId="44DB5FC9" w14:textId="77777777" w:rsidR="0069747B" w:rsidRPr="0069747B" w:rsidRDefault="0069747B" w:rsidP="0069747B">
      <w:pPr>
        <w:rPr>
          <w:lang w:val="fr-FR"/>
        </w:rPr>
      </w:pPr>
      <w:r w:rsidRPr="0069747B">
        <w:rPr>
          <w:lang w:val="fr-FR"/>
        </w:rPr>
        <w:t>Dans les lots H2 et H13, la hauteur libre des niveaux d’habitation est de 2,55 mètres minimum.</w:t>
      </w:r>
    </w:p>
    <w:p w14:paraId="2EF6798A" w14:textId="21087CCE" w:rsidR="0069747B" w:rsidRPr="0069747B" w:rsidRDefault="0069747B" w:rsidP="0069747B">
      <w:pPr>
        <w:pStyle w:val="Heading4"/>
        <w:rPr>
          <w:lang w:val="fr-FR"/>
        </w:rPr>
      </w:pPr>
      <w:r w:rsidRPr="0069747B">
        <w:rPr>
          <w:lang w:val="fr-FR"/>
        </w:rPr>
        <w:t>E.5.2.4</w:t>
      </w:r>
      <w:r>
        <w:rPr>
          <w:lang w:val="fr-FR"/>
        </w:rPr>
        <w:t xml:space="preserve"> </w:t>
      </w:r>
      <w:r w:rsidRPr="0069747B">
        <w:rPr>
          <w:lang w:val="fr-FR"/>
        </w:rPr>
        <w:t>Les critères de qualité dans les maisons plurifamiliales</w:t>
      </w:r>
    </w:p>
    <w:p w14:paraId="40A15C9A" w14:textId="2B35590F" w:rsidR="0069747B" w:rsidRPr="0069747B" w:rsidRDefault="0069747B" w:rsidP="0069747B">
      <w:pPr>
        <w:rPr>
          <w:lang w:val="fr-FR"/>
        </w:rPr>
      </w:pPr>
      <w:r w:rsidRPr="0069747B">
        <w:rPr>
          <w:lang w:val="fr-FR"/>
        </w:rPr>
        <w:t>Afin de répondre aux critères de qualité dans le logement collectif, tous les logements devront</w:t>
      </w:r>
      <w:r>
        <w:rPr>
          <w:lang w:val="fr-FR"/>
        </w:rPr>
        <w:t xml:space="preserve"> disposer des éléments suivants</w:t>
      </w:r>
      <w:r w:rsidRPr="0069747B">
        <w:rPr>
          <w:lang w:val="fr-FR"/>
        </w:rPr>
        <w:t>:</w:t>
      </w:r>
    </w:p>
    <w:p w14:paraId="096A6600" w14:textId="5AA00F7A" w:rsidR="0069747B" w:rsidRPr="0069747B" w:rsidRDefault="0069747B" w:rsidP="0069747B">
      <w:pPr>
        <w:pStyle w:val="ListParagraph"/>
        <w:numPr>
          <w:ilvl w:val="0"/>
          <w:numId w:val="14"/>
        </w:numPr>
        <w:rPr>
          <w:lang w:val="fr-FR"/>
        </w:rPr>
      </w:pPr>
      <w:r w:rsidRPr="0069747B">
        <w:rPr>
          <w:lang w:val="fr-FR"/>
        </w:rPr>
        <w:lastRenderedPageBreak/>
        <w:t>Hall(s) avec sas d’entrée</w:t>
      </w:r>
    </w:p>
    <w:p w14:paraId="51D7D09C" w14:textId="6686B8D9" w:rsidR="0069747B" w:rsidRPr="0069747B" w:rsidRDefault="0069747B" w:rsidP="0069747B">
      <w:pPr>
        <w:pStyle w:val="ListParagraph"/>
        <w:numPr>
          <w:ilvl w:val="0"/>
          <w:numId w:val="14"/>
        </w:numPr>
        <w:rPr>
          <w:lang w:val="fr-FR"/>
        </w:rPr>
      </w:pPr>
      <w:r w:rsidRPr="0069747B">
        <w:rPr>
          <w:lang w:val="fr-FR"/>
        </w:rPr>
        <w:t>Caves individuelles</w:t>
      </w:r>
    </w:p>
    <w:p w14:paraId="5F6ADCDE" w14:textId="6F5FB7E5" w:rsidR="0069747B" w:rsidRPr="0069747B" w:rsidRDefault="0069747B" w:rsidP="0069747B">
      <w:pPr>
        <w:pStyle w:val="ListParagraph"/>
        <w:numPr>
          <w:ilvl w:val="0"/>
          <w:numId w:val="14"/>
        </w:numPr>
        <w:rPr>
          <w:lang w:val="fr-FR"/>
        </w:rPr>
      </w:pPr>
      <w:r w:rsidRPr="0069747B">
        <w:rPr>
          <w:lang w:val="fr-FR"/>
        </w:rPr>
        <w:t>Buanderie</w:t>
      </w:r>
    </w:p>
    <w:p w14:paraId="21A81594" w14:textId="46085921" w:rsidR="0069747B" w:rsidRPr="0069747B" w:rsidRDefault="0069747B" w:rsidP="0069747B">
      <w:pPr>
        <w:pStyle w:val="ListParagraph"/>
        <w:numPr>
          <w:ilvl w:val="0"/>
          <w:numId w:val="14"/>
        </w:numPr>
        <w:rPr>
          <w:lang w:val="fr-FR"/>
        </w:rPr>
      </w:pPr>
      <w:r w:rsidRPr="0069747B">
        <w:rPr>
          <w:lang w:val="fr-FR"/>
        </w:rPr>
        <w:t>Local à vélos et poussettes facilement accessible depuis l’extérieur</w:t>
      </w:r>
    </w:p>
    <w:p w14:paraId="48509BF1" w14:textId="74E4BD65" w:rsidR="0069747B" w:rsidRPr="0069747B" w:rsidRDefault="0069747B" w:rsidP="0069747B">
      <w:pPr>
        <w:pStyle w:val="ListParagraph"/>
        <w:numPr>
          <w:ilvl w:val="0"/>
          <w:numId w:val="14"/>
        </w:numPr>
        <w:rPr>
          <w:lang w:val="fr-FR"/>
        </w:rPr>
      </w:pPr>
      <w:r w:rsidRPr="0069747B">
        <w:rPr>
          <w:lang w:val="fr-FR"/>
        </w:rPr>
        <w:t>Local poubelles</w:t>
      </w:r>
    </w:p>
    <w:p w14:paraId="577B49D6" w14:textId="48E5A4CD" w:rsidR="0069747B" w:rsidRPr="0069747B" w:rsidRDefault="0069747B" w:rsidP="0069747B">
      <w:pPr>
        <w:pStyle w:val="ListParagraph"/>
        <w:numPr>
          <w:ilvl w:val="0"/>
          <w:numId w:val="14"/>
        </w:numPr>
        <w:rPr>
          <w:lang w:val="fr-FR"/>
        </w:rPr>
      </w:pPr>
      <w:r w:rsidRPr="0069747B">
        <w:rPr>
          <w:lang w:val="fr-FR"/>
        </w:rPr>
        <w:t>Local pour compteurs</w:t>
      </w:r>
    </w:p>
    <w:p w14:paraId="2FCC760D" w14:textId="31BCE9FC" w:rsidR="0069747B" w:rsidRPr="0069747B" w:rsidRDefault="0069747B" w:rsidP="0069747B">
      <w:pPr>
        <w:pStyle w:val="ListParagraph"/>
        <w:numPr>
          <w:ilvl w:val="0"/>
          <w:numId w:val="14"/>
        </w:numPr>
        <w:rPr>
          <w:lang w:val="fr-FR"/>
        </w:rPr>
      </w:pPr>
      <w:r w:rsidRPr="0069747B">
        <w:rPr>
          <w:lang w:val="fr-FR"/>
        </w:rPr>
        <w:t xml:space="preserve">Espace extérieur pour chaque logement, ou espaces extérieurs communs regroupés s’il s’agit d’un logement </w:t>
      </w:r>
      <w:r>
        <w:rPr>
          <w:lang w:val="fr-FR"/>
        </w:rPr>
        <w:t>« communautaire »</w:t>
      </w:r>
    </w:p>
    <w:p w14:paraId="51D9AC5C" w14:textId="5C21C1C4" w:rsidR="0069747B" w:rsidRPr="0069747B" w:rsidRDefault="0069747B" w:rsidP="0069747B">
      <w:pPr>
        <w:pStyle w:val="Heading4"/>
        <w:rPr>
          <w:lang w:val="fr-FR"/>
        </w:rPr>
      </w:pPr>
      <w:r w:rsidRPr="0069747B">
        <w:rPr>
          <w:lang w:val="fr-FR"/>
        </w:rPr>
        <w:t>E.5.2.5</w:t>
      </w:r>
      <w:r>
        <w:rPr>
          <w:lang w:val="fr-FR"/>
        </w:rPr>
        <w:t xml:space="preserve"> </w:t>
      </w:r>
      <w:r w:rsidRPr="0069747B">
        <w:rPr>
          <w:lang w:val="fr-FR"/>
        </w:rPr>
        <w:t>Les conditions esthétiques pour la zone d’habitation 2 – [HAB-2]</w:t>
      </w:r>
    </w:p>
    <w:p w14:paraId="26B624E2" w14:textId="76387F26" w:rsidR="0069747B" w:rsidRPr="0069747B" w:rsidRDefault="0069747B" w:rsidP="0069747B">
      <w:pPr>
        <w:pStyle w:val="Heading5"/>
        <w:rPr>
          <w:lang w:val="fr-FR"/>
        </w:rPr>
      </w:pPr>
      <w:r>
        <w:rPr>
          <w:lang w:val="fr-FR"/>
        </w:rPr>
        <w:t xml:space="preserve">E.5.2.5.1 </w:t>
      </w:r>
      <w:r w:rsidRPr="0069747B">
        <w:rPr>
          <w:lang w:val="fr-FR"/>
        </w:rPr>
        <w:t>Les socles de façade</w:t>
      </w:r>
    </w:p>
    <w:p w14:paraId="34B1B550" w14:textId="77777777" w:rsidR="0069747B" w:rsidRPr="0069747B" w:rsidRDefault="0069747B" w:rsidP="0069747B">
      <w:pPr>
        <w:rPr>
          <w:lang w:val="fr-FR"/>
        </w:rPr>
      </w:pPr>
      <w:r w:rsidRPr="0069747B">
        <w:rPr>
          <w:lang w:val="fr-FR"/>
        </w:rPr>
        <w:t>L’apparence des socles de façade des immeubles bâtis doit être identique à celle des murets de délimitation afin d’assurer la continuité visuelle. Une exécution en béton préfabriqué est autorisée.</w:t>
      </w:r>
    </w:p>
    <w:p w14:paraId="20859548" w14:textId="77777777" w:rsidR="0069747B" w:rsidRPr="0069747B" w:rsidRDefault="0069747B" w:rsidP="0069747B">
      <w:pPr>
        <w:rPr>
          <w:lang w:val="fr-FR"/>
        </w:rPr>
      </w:pPr>
      <w:r w:rsidRPr="0069747B">
        <w:rPr>
          <w:lang w:val="fr-FR"/>
        </w:rPr>
        <w:t>Les hauteurs des socles sont à adapter aux hauteurs des murets de délimitation de la parcelle.</w:t>
      </w:r>
    </w:p>
    <w:p w14:paraId="38FDEE07" w14:textId="016AF394" w:rsidR="006605E2" w:rsidRDefault="0069747B" w:rsidP="0069747B">
      <w:pPr>
        <w:rPr>
          <w:lang w:val="fr-FR"/>
        </w:rPr>
      </w:pPr>
      <w:r w:rsidRPr="0069747B">
        <w:rPr>
          <w:lang w:val="fr-FR"/>
        </w:rPr>
        <w:t xml:space="preserve">Les particularités des socles de façade des </w:t>
      </w:r>
      <w:r>
        <w:rPr>
          <w:lang w:val="fr-FR"/>
        </w:rPr>
        <w:t>lots H14 et H17 (rez-de-jardin)</w:t>
      </w:r>
      <w:r w:rsidRPr="0069747B">
        <w:rPr>
          <w:lang w:val="fr-FR"/>
        </w:rPr>
        <w:t>:</w:t>
      </w:r>
    </w:p>
    <w:p w14:paraId="6B6BB403" w14:textId="2C4EFC7E" w:rsidR="0069747B" w:rsidRDefault="0069747B" w:rsidP="0069747B">
      <w:pPr>
        <w:jc w:val="center"/>
        <w:rPr>
          <w:lang w:val="fr-FR"/>
        </w:rPr>
      </w:pPr>
      <w:r>
        <w:rPr>
          <w:noProof/>
          <w:lang w:val="en-US"/>
        </w:rPr>
        <w:drawing>
          <wp:inline distT="0" distB="0" distL="0" distR="0" wp14:anchorId="12A688A4" wp14:editId="0697096E">
            <wp:extent cx="5328285" cy="3103245"/>
            <wp:effectExtent l="0" t="0" r="571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28285" cy="3103245"/>
                    </a:xfrm>
                    <a:prstGeom prst="rect">
                      <a:avLst/>
                    </a:prstGeom>
                    <a:noFill/>
                  </pic:spPr>
                </pic:pic>
              </a:graphicData>
            </a:graphic>
          </wp:inline>
        </w:drawing>
      </w:r>
    </w:p>
    <w:p w14:paraId="6D39485C" w14:textId="69AF2A6A" w:rsidR="0069747B" w:rsidRDefault="0069747B" w:rsidP="0069747B">
      <w:pPr>
        <w:rPr>
          <w:lang w:val="fr-FR"/>
        </w:rPr>
      </w:pPr>
    </w:p>
    <w:p w14:paraId="2BBDFD11" w14:textId="77777777" w:rsidR="0069747B" w:rsidRPr="0069747B" w:rsidRDefault="0069747B" w:rsidP="0069747B">
      <w:pPr>
        <w:rPr>
          <w:lang w:val="fr-FR"/>
        </w:rPr>
      </w:pPr>
      <w:r w:rsidRPr="0069747B">
        <w:rPr>
          <w:lang w:val="fr-FR"/>
        </w:rPr>
        <w:t>Les façades des logements sont à prévoir sur toute la longueur de la façade avant et sur une longueur de 6,50 mètres des façades latérales des rez-de-jardin des lots H14 et H17, tel que défini dans la partie graphique.</w:t>
      </w:r>
    </w:p>
    <w:p w14:paraId="32A24859" w14:textId="46682EE9" w:rsidR="0069747B" w:rsidRPr="0069747B" w:rsidRDefault="0069747B" w:rsidP="0069747B">
      <w:pPr>
        <w:pStyle w:val="Heading5"/>
        <w:rPr>
          <w:lang w:val="fr-FR"/>
        </w:rPr>
      </w:pPr>
      <w:r>
        <w:rPr>
          <w:lang w:val="fr-FR"/>
        </w:rPr>
        <w:t xml:space="preserve">E.5.2.5.2 </w:t>
      </w:r>
      <w:r w:rsidRPr="0069747B">
        <w:rPr>
          <w:lang w:val="fr-FR"/>
        </w:rPr>
        <w:t>Les façades latérales</w:t>
      </w:r>
    </w:p>
    <w:p w14:paraId="16BE49A3" w14:textId="77777777" w:rsidR="0069747B" w:rsidRPr="0069747B" w:rsidRDefault="0069747B" w:rsidP="0069747B">
      <w:pPr>
        <w:rPr>
          <w:lang w:val="fr-FR"/>
        </w:rPr>
      </w:pPr>
      <w:r w:rsidRPr="0069747B">
        <w:rPr>
          <w:lang w:val="fr-FR"/>
        </w:rPr>
        <w:t>Dans la zone d’habitation 2, les façades latérales placées directement sur la limite du terrain ne sont pas à considérer comme façades aveugles. Leur traitement exige la même qualité que les façades avant et arrière.</w:t>
      </w:r>
    </w:p>
    <w:p w14:paraId="1D1BBABF" w14:textId="0F1CABC9" w:rsidR="0069747B" w:rsidRPr="0069747B" w:rsidRDefault="0069747B" w:rsidP="0069747B">
      <w:pPr>
        <w:pStyle w:val="Heading5"/>
        <w:rPr>
          <w:lang w:val="fr-FR"/>
        </w:rPr>
      </w:pPr>
      <w:r>
        <w:rPr>
          <w:lang w:val="fr-FR"/>
        </w:rPr>
        <w:lastRenderedPageBreak/>
        <w:t xml:space="preserve">E.5.2.5.3 </w:t>
      </w:r>
      <w:r w:rsidRPr="0069747B">
        <w:rPr>
          <w:lang w:val="fr-FR"/>
        </w:rPr>
        <w:t>Les saillies de la corniche</w:t>
      </w:r>
    </w:p>
    <w:p w14:paraId="4BD804A2" w14:textId="77777777" w:rsidR="0069747B" w:rsidRPr="0069747B" w:rsidRDefault="0069747B" w:rsidP="0069747B">
      <w:pPr>
        <w:rPr>
          <w:lang w:val="fr-FR"/>
        </w:rPr>
      </w:pPr>
      <w:r w:rsidRPr="0069747B">
        <w:rPr>
          <w:lang w:val="fr-FR"/>
        </w:rPr>
        <w:t>Pour les lots H2 à H19, des saillies de corniche de 0,50 mètre sur les façades latérales et arrière sont acceptées.</w:t>
      </w:r>
    </w:p>
    <w:p w14:paraId="39368D20" w14:textId="4045D548" w:rsidR="0069747B" w:rsidRPr="0069747B" w:rsidRDefault="0069747B" w:rsidP="0069747B">
      <w:pPr>
        <w:pStyle w:val="Heading5"/>
        <w:rPr>
          <w:lang w:val="fr-FR"/>
        </w:rPr>
      </w:pPr>
      <w:r>
        <w:rPr>
          <w:lang w:val="fr-FR"/>
        </w:rPr>
        <w:t xml:space="preserve">E.5.2.5.4 </w:t>
      </w:r>
      <w:r w:rsidRPr="0069747B">
        <w:rPr>
          <w:lang w:val="fr-FR"/>
        </w:rPr>
        <w:t>Les saillies sur les alignements de façade</w:t>
      </w:r>
    </w:p>
    <w:p w14:paraId="7CD0C908" w14:textId="77777777" w:rsidR="0069747B" w:rsidRPr="0069747B" w:rsidRDefault="0069747B" w:rsidP="0069747B">
      <w:pPr>
        <w:rPr>
          <w:lang w:val="fr-FR"/>
        </w:rPr>
      </w:pPr>
      <w:r w:rsidRPr="0069747B">
        <w:rPr>
          <w:lang w:val="fr-FR"/>
        </w:rPr>
        <w:t xml:space="preserve">Pour les lots H2 à H19, les balcons et saillies peuvent dépasser la ligne de construction obligatoire de la façade avant uniquement à partir du R+1. </w:t>
      </w:r>
      <w:proofErr w:type="gramStart"/>
      <w:r w:rsidRPr="0069747B">
        <w:rPr>
          <w:lang w:val="fr-FR"/>
        </w:rPr>
        <w:t>Les saillies maximum</w:t>
      </w:r>
      <w:proofErr w:type="gramEnd"/>
      <w:r w:rsidRPr="0069747B">
        <w:rPr>
          <w:lang w:val="fr-FR"/>
        </w:rPr>
        <w:t xml:space="preserve"> sont de 1,50 mètre pour les balcons et de 1 mètre pour les autres saillies.</w:t>
      </w:r>
    </w:p>
    <w:p w14:paraId="70BD31E3" w14:textId="69D7CC5E" w:rsidR="0069747B" w:rsidRPr="0069747B" w:rsidRDefault="0069747B" w:rsidP="0069747B">
      <w:pPr>
        <w:pStyle w:val="Heading5"/>
        <w:rPr>
          <w:lang w:val="fr-FR"/>
        </w:rPr>
      </w:pPr>
      <w:r>
        <w:rPr>
          <w:lang w:val="fr-FR"/>
        </w:rPr>
        <w:t xml:space="preserve">E.5.2.5.5 </w:t>
      </w:r>
      <w:r w:rsidRPr="0069747B">
        <w:rPr>
          <w:lang w:val="fr-FR"/>
        </w:rPr>
        <w:t>La délimitation des parcelles privées</w:t>
      </w:r>
    </w:p>
    <w:p w14:paraId="252FC694" w14:textId="77777777" w:rsidR="0069747B" w:rsidRPr="0069747B" w:rsidRDefault="0069747B" w:rsidP="0069747B">
      <w:pPr>
        <w:rPr>
          <w:lang w:val="fr-FR"/>
        </w:rPr>
      </w:pPr>
      <w:r w:rsidRPr="0069747B">
        <w:rPr>
          <w:lang w:val="fr-FR"/>
        </w:rPr>
        <w:t>Les hauteurs des murets sont données dans la partie graphique du PAP QE. La hauteur minimum des murets par rapport au trottoir jouxtant sera de 40 centimètres. Une tolérance de 10 centimètres en plus ou en moins est autorisée.</w:t>
      </w:r>
    </w:p>
    <w:p w14:paraId="34E1F202" w14:textId="196B966E" w:rsidR="0069747B" w:rsidRPr="0069747B" w:rsidRDefault="0069747B" w:rsidP="0069747B">
      <w:pPr>
        <w:rPr>
          <w:lang w:val="fr-FR"/>
        </w:rPr>
      </w:pPr>
      <w:r w:rsidRPr="0069747B">
        <w:rPr>
          <w:lang w:val="fr-FR"/>
        </w:rPr>
        <w:t>Afin de garantir un aspect homogène du quartier, les murets et socles doivent répondre au</w:t>
      </w:r>
      <w:r>
        <w:rPr>
          <w:lang w:val="fr-FR"/>
        </w:rPr>
        <w:t>x critères ci-dessous, à savoir</w:t>
      </w:r>
      <w:r w:rsidRPr="0069747B">
        <w:rPr>
          <w:lang w:val="fr-FR"/>
        </w:rPr>
        <w:t>:</w:t>
      </w:r>
    </w:p>
    <w:p w14:paraId="5B0E1330" w14:textId="3D0355E7" w:rsidR="0069747B" w:rsidRPr="0069747B" w:rsidRDefault="0069747B" w:rsidP="0069747B">
      <w:pPr>
        <w:pStyle w:val="ListParagraph"/>
        <w:numPr>
          <w:ilvl w:val="0"/>
          <w:numId w:val="16"/>
        </w:numPr>
        <w:rPr>
          <w:lang w:val="fr-FR"/>
        </w:rPr>
      </w:pPr>
      <w:proofErr w:type="gramStart"/>
      <w:r w:rsidRPr="0069747B">
        <w:rPr>
          <w:lang w:val="fr-FR"/>
        </w:rPr>
        <w:t>exécution</w:t>
      </w:r>
      <w:proofErr w:type="gramEnd"/>
      <w:r w:rsidRPr="0069747B">
        <w:rPr>
          <w:lang w:val="fr-FR"/>
        </w:rPr>
        <w:t xml:space="preserve"> en béton d’une épaisseur de 25 centimètres sur toutes les surfaces visibles, sans tablette de finition en surface horizontale,</w:t>
      </w:r>
    </w:p>
    <w:p w14:paraId="4602F7D2" w14:textId="145ABC5B" w:rsidR="0069747B" w:rsidRPr="0069747B" w:rsidRDefault="0069747B" w:rsidP="0069747B">
      <w:pPr>
        <w:pStyle w:val="ListParagraph"/>
        <w:numPr>
          <w:ilvl w:val="0"/>
          <w:numId w:val="16"/>
        </w:numPr>
        <w:rPr>
          <w:lang w:val="fr-FR"/>
        </w:rPr>
      </w:pPr>
      <w:proofErr w:type="gramStart"/>
      <w:r w:rsidRPr="0069747B">
        <w:rPr>
          <w:lang w:val="fr-FR"/>
        </w:rPr>
        <w:t>finition</w:t>
      </w:r>
      <w:proofErr w:type="gramEnd"/>
      <w:r w:rsidRPr="0069747B">
        <w:rPr>
          <w:lang w:val="fr-FR"/>
        </w:rPr>
        <w:t xml:space="preserve"> lisse,</w:t>
      </w:r>
      <w:r>
        <w:rPr>
          <w:lang w:val="fr-FR"/>
        </w:rPr>
        <w:t xml:space="preserve"> de teinte gris béton uniforme,</w:t>
      </w:r>
    </w:p>
    <w:p w14:paraId="7AEA15E4" w14:textId="30691489" w:rsidR="0069747B" w:rsidRPr="0069747B" w:rsidRDefault="0069747B" w:rsidP="0069747B">
      <w:pPr>
        <w:pStyle w:val="ListParagraph"/>
        <w:numPr>
          <w:ilvl w:val="0"/>
          <w:numId w:val="16"/>
        </w:numPr>
        <w:rPr>
          <w:lang w:val="fr-FR"/>
        </w:rPr>
      </w:pPr>
      <w:proofErr w:type="gramStart"/>
      <w:r w:rsidRPr="0069747B">
        <w:rPr>
          <w:lang w:val="fr-FR"/>
        </w:rPr>
        <w:t>joints</w:t>
      </w:r>
      <w:proofErr w:type="gramEnd"/>
      <w:r w:rsidRPr="0069747B">
        <w:rPr>
          <w:lang w:val="fr-FR"/>
        </w:rPr>
        <w:t xml:space="preserve"> de coffrage verticaux uniquement, pas de </w:t>
      </w:r>
      <w:r>
        <w:rPr>
          <w:lang w:val="fr-FR"/>
        </w:rPr>
        <w:t>« </w:t>
      </w:r>
      <w:r w:rsidRPr="0069747B">
        <w:rPr>
          <w:lang w:val="fr-FR"/>
        </w:rPr>
        <w:t>joints aveugles ou décoratifs</w:t>
      </w:r>
      <w:r>
        <w:rPr>
          <w:lang w:val="fr-FR"/>
        </w:rPr>
        <w:t> »</w:t>
      </w:r>
      <w:r w:rsidRPr="0069747B">
        <w:rPr>
          <w:lang w:val="fr-FR"/>
        </w:rPr>
        <w:t>,</w:t>
      </w:r>
    </w:p>
    <w:p w14:paraId="0156CD88" w14:textId="687716D0" w:rsidR="0069747B" w:rsidRPr="0069747B" w:rsidRDefault="0069747B" w:rsidP="0069747B">
      <w:pPr>
        <w:pStyle w:val="ListParagraph"/>
        <w:numPr>
          <w:ilvl w:val="0"/>
          <w:numId w:val="16"/>
        </w:numPr>
        <w:rPr>
          <w:lang w:val="fr-FR"/>
        </w:rPr>
      </w:pPr>
      <w:proofErr w:type="gramStart"/>
      <w:r w:rsidRPr="0069747B">
        <w:rPr>
          <w:lang w:val="fr-FR"/>
        </w:rPr>
        <w:t>haie</w:t>
      </w:r>
      <w:proofErr w:type="gramEnd"/>
      <w:r w:rsidRPr="0069747B">
        <w:rPr>
          <w:lang w:val="fr-FR"/>
        </w:rPr>
        <w:t xml:space="preserve"> de charm</w:t>
      </w:r>
      <w:r>
        <w:rPr>
          <w:lang w:val="fr-FR"/>
        </w:rPr>
        <w:t>e du côté intérieur de ce muret</w:t>
      </w:r>
      <w:r w:rsidRPr="0069747B">
        <w:rPr>
          <w:lang w:val="fr-FR"/>
        </w:rPr>
        <w:t xml:space="preserve">: </w:t>
      </w:r>
      <w:proofErr w:type="spellStart"/>
      <w:r w:rsidRPr="0069747B">
        <w:rPr>
          <w:lang w:val="fr-FR"/>
        </w:rPr>
        <w:t>carpinus</w:t>
      </w:r>
      <w:proofErr w:type="spellEnd"/>
      <w:r w:rsidRPr="0069747B">
        <w:rPr>
          <w:lang w:val="fr-FR"/>
        </w:rPr>
        <w:t xml:space="preserve"> </w:t>
      </w:r>
      <w:proofErr w:type="spellStart"/>
      <w:r w:rsidRPr="0069747B">
        <w:rPr>
          <w:lang w:val="fr-FR"/>
        </w:rPr>
        <w:t>betulus</w:t>
      </w:r>
      <w:proofErr w:type="spellEnd"/>
      <w:r w:rsidRPr="0069747B">
        <w:rPr>
          <w:lang w:val="fr-FR"/>
        </w:rPr>
        <w:t>.</w:t>
      </w:r>
    </w:p>
    <w:p w14:paraId="7A179E10" w14:textId="77777777" w:rsidR="0069747B" w:rsidRPr="0069747B" w:rsidRDefault="0069747B" w:rsidP="0069747B">
      <w:pPr>
        <w:rPr>
          <w:lang w:val="fr-FR"/>
        </w:rPr>
      </w:pPr>
      <w:r w:rsidRPr="0069747B">
        <w:rPr>
          <w:lang w:val="fr-FR"/>
        </w:rPr>
        <w:t>Les murets ne pourront être interrompus que pour les accès résidents, les accès aux garages souterrains et les accès aux pompiers. Des ouvertures depuis l’espace public peuvent être prévues afin de créer un accès direct vers les espaces verts privés.</w:t>
      </w:r>
    </w:p>
    <w:p w14:paraId="7717CCD6" w14:textId="77777777" w:rsidR="0069747B" w:rsidRPr="0069747B" w:rsidRDefault="0069747B" w:rsidP="0069747B">
      <w:pPr>
        <w:rPr>
          <w:lang w:val="fr-FR"/>
        </w:rPr>
      </w:pPr>
      <w:r w:rsidRPr="0069747B">
        <w:rPr>
          <w:lang w:val="fr-FR"/>
        </w:rPr>
        <w:t>Pour les lots H2, H12 et H13, recevant au rez-de-chaussée des fonctions autres que du logement, le muret de délimitation, avec la haie de charme, n’est pas obligatoire afin de créer un espace à caractère public.</w:t>
      </w:r>
    </w:p>
    <w:p w14:paraId="671A313D" w14:textId="61DAA6F2" w:rsidR="0069747B" w:rsidRPr="0069747B" w:rsidRDefault="0069747B" w:rsidP="0069747B">
      <w:pPr>
        <w:pStyle w:val="Heading4"/>
        <w:rPr>
          <w:lang w:val="fr-FR"/>
        </w:rPr>
      </w:pPr>
      <w:r w:rsidRPr="0069747B">
        <w:rPr>
          <w:lang w:val="fr-FR"/>
        </w:rPr>
        <w:t>E.5.2.6</w:t>
      </w:r>
      <w:r>
        <w:rPr>
          <w:lang w:val="fr-FR"/>
        </w:rPr>
        <w:t xml:space="preserve"> </w:t>
      </w:r>
      <w:r w:rsidRPr="0069747B">
        <w:rPr>
          <w:lang w:val="fr-FR"/>
        </w:rPr>
        <w:t>L’aménagement des parcelles privées de la zone d’habitation 2 – [HAB-2]</w:t>
      </w:r>
    </w:p>
    <w:p w14:paraId="72DFE8F8" w14:textId="6280D1A9" w:rsidR="0069747B" w:rsidRPr="0069747B" w:rsidRDefault="0069747B" w:rsidP="0069747B">
      <w:pPr>
        <w:rPr>
          <w:lang w:val="fr-FR"/>
        </w:rPr>
      </w:pPr>
      <w:r w:rsidRPr="0069747B">
        <w:rPr>
          <w:lang w:val="fr-FR"/>
        </w:rPr>
        <w:t>Dans la zone d’habitation 2, les espaces privés extérieurs se composent de 3 types de surfa</w:t>
      </w:r>
      <w:r>
        <w:rPr>
          <w:lang w:val="fr-FR"/>
        </w:rPr>
        <w:t>ces</w:t>
      </w:r>
      <w:r w:rsidRPr="0069747B">
        <w:rPr>
          <w:lang w:val="fr-FR"/>
        </w:rPr>
        <w:t>:</w:t>
      </w:r>
    </w:p>
    <w:p w14:paraId="12F95CF2" w14:textId="1E04184A" w:rsidR="0069747B" w:rsidRPr="0069747B" w:rsidRDefault="0069747B" w:rsidP="0069747B">
      <w:pPr>
        <w:pStyle w:val="ListParagraph"/>
        <w:numPr>
          <w:ilvl w:val="0"/>
          <w:numId w:val="18"/>
        </w:numPr>
        <w:rPr>
          <w:lang w:val="fr-FR"/>
        </w:rPr>
      </w:pPr>
      <w:proofErr w:type="gramStart"/>
      <w:r w:rsidRPr="0069747B">
        <w:rPr>
          <w:lang w:val="fr-FR"/>
        </w:rPr>
        <w:t>la</w:t>
      </w:r>
      <w:proofErr w:type="gramEnd"/>
      <w:r w:rsidRPr="0069747B">
        <w:rPr>
          <w:lang w:val="fr-FR"/>
        </w:rPr>
        <w:t xml:space="preserve"> zone d’entrée,</w:t>
      </w:r>
    </w:p>
    <w:p w14:paraId="036F644B" w14:textId="16FC1A37" w:rsidR="0069747B" w:rsidRPr="0069747B" w:rsidRDefault="0069747B" w:rsidP="0069747B">
      <w:pPr>
        <w:pStyle w:val="ListParagraph"/>
        <w:numPr>
          <w:ilvl w:val="0"/>
          <w:numId w:val="18"/>
        </w:numPr>
        <w:rPr>
          <w:lang w:val="fr-FR"/>
        </w:rPr>
      </w:pPr>
      <w:proofErr w:type="gramStart"/>
      <w:r w:rsidRPr="0069747B">
        <w:rPr>
          <w:lang w:val="fr-FR"/>
        </w:rPr>
        <w:t>la</w:t>
      </w:r>
      <w:proofErr w:type="gramEnd"/>
      <w:r w:rsidRPr="0069747B">
        <w:rPr>
          <w:lang w:val="fr-FR"/>
        </w:rPr>
        <w:t xml:space="preserve"> toiture jardin du parking souterrain,</w:t>
      </w:r>
    </w:p>
    <w:p w14:paraId="63674372" w14:textId="57574BAA" w:rsidR="0069747B" w:rsidRPr="0069747B" w:rsidRDefault="0069747B" w:rsidP="0069747B">
      <w:pPr>
        <w:pStyle w:val="ListParagraph"/>
        <w:numPr>
          <w:ilvl w:val="0"/>
          <w:numId w:val="18"/>
        </w:numPr>
        <w:rPr>
          <w:lang w:val="fr-FR"/>
        </w:rPr>
      </w:pPr>
      <w:proofErr w:type="gramStart"/>
      <w:r w:rsidRPr="0069747B">
        <w:rPr>
          <w:lang w:val="fr-FR"/>
        </w:rPr>
        <w:t>le</w:t>
      </w:r>
      <w:proofErr w:type="gramEnd"/>
      <w:r w:rsidRPr="0069747B">
        <w:rPr>
          <w:lang w:val="fr-FR"/>
        </w:rPr>
        <w:t xml:space="preserve"> jardin.</w:t>
      </w:r>
    </w:p>
    <w:p w14:paraId="0B936115" w14:textId="77777777" w:rsidR="0069747B" w:rsidRPr="0069747B" w:rsidRDefault="0069747B" w:rsidP="0069747B">
      <w:pPr>
        <w:rPr>
          <w:lang w:val="fr-FR"/>
        </w:rPr>
      </w:pPr>
      <w:r w:rsidRPr="0069747B">
        <w:rPr>
          <w:lang w:val="fr-FR"/>
        </w:rPr>
        <w:t>Les marges de reculement imposées antérieures, latérales et postérieures devront être aménagées sous forme de verdure, à l’exception des chemins d'accès et des terrasses. Les terrasses devront être partiellement perméables.</w:t>
      </w:r>
    </w:p>
    <w:p w14:paraId="30000EFD" w14:textId="77777777" w:rsidR="0069747B" w:rsidRPr="0069747B" w:rsidRDefault="0069747B" w:rsidP="0069747B">
      <w:pPr>
        <w:rPr>
          <w:lang w:val="fr-FR"/>
        </w:rPr>
      </w:pPr>
      <w:r w:rsidRPr="0069747B">
        <w:rPr>
          <w:lang w:val="fr-FR"/>
        </w:rPr>
        <w:t xml:space="preserve">En outre, par dérogation à l’alinéa ci-dessus, des équipements techniques, par exemple un bassin de rétention construit en souterrain en dur, un réservoir à combustible, un ascenseur </w:t>
      </w:r>
      <w:r w:rsidRPr="0069747B">
        <w:rPr>
          <w:lang w:val="fr-FR"/>
        </w:rPr>
        <w:lastRenderedPageBreak/>
        <w:t>pour voitures permettant d’accéder au garage en sous-sol, etc., sont autorisés dans un des reculs sous condition de ne pas dépasser le niveau naturel du terrain.</w:t>
      </w:r>
    </w:p>
    <w:p w14:paraId="0D4BC7C5" w14:textId="77777777" w:rsidR="0069747B" w:rsidRPr="0069747B" w:rsidRDefault="0069747B" w:rsidP="0069747B">
      <w:pPr>
        <w:rPr>
          <w:lang w:val="fr-FR"/>
        </w:rPr>
      </w:pPr>
      <w:r w:rsidRPr="0069747B">
        <w:rPr>
          <w:lang w:val="fr-FR"/>
        </w:rPr>
        <w:t>Les places de stationnement pour véhicules, les garages et les car-ports aménagés dans les marges de reculement antérieures, latérales et postérieures sont interdits.</w:t>
      </w:r>
    </w:p>
    <w:p w14:paraId="2F3B8B76" w14:textId="77777777" w:rsidR="0069747B" w:rsidRPr="0069747B" w:rsidRDefault="0069747B" w:rsidP="0069747B">
      <w:pPr>
        <w:rPr>
          <w:lang w:val="fr-FR"/>
        </w:rPr>
      </w:pPr>
      <w:r w:rsidRPr="0069747B">
        <w:rPr>
          <w:lang w:val="fr-FR"/>
        </w:rPr>
        <w:t>Dans le recul postérieur, il est encore admis une seule dépendance, telle qu’abri de jardin, gloriette ou similaire, à condition qu'elle s'intègre de façon harmonieuse.</w:t>
      </w:r>
    </w:p>
    <w:p w14:paraId="1A61FEDE" w14:textId="77777777" w:rsidR="0069747B" w:rsidRPr="0069747B" w:rsidRDefault="0069747B" w:rsidP="0069747B">
      <w:pPr>
        <w:rPr>
          <w:lang w:val="fr-FR"/>
        </w:rPr>
      </w:pPr>
      <w:r w:rsidRPr="0069747B">
        <w:rPr>
          <w:lang w:val="fr-FR"/>
        </w:rPr>
        <w:t>La surface au sol de cette construction, auvent compris, ne devra pas dépasser 12 mètres carrés et la hauteur ne devra pas dépasser 3,50 mètres par rapport au niveau naturel du terrain.</w:t>
      </w:r>
    </w:p>
    <w:p w14:paraId="3C7B4BB0" w14:textId="77777777" w:rsidR="0069747B" w:rsidRPr="0069747B" w:rsidRDefault="0069747B" w:rsidP="0069747B">
      <w:pPr>
        <w:rPr>
          <w:lang w:val="fr-FR"/>
        </w:rPr>
      </w:pPr>
      <w:r w:rsidRPr="0069747B">
        <w:rPr>
          <w:lang w:val="fr-FR"/>
        </w:rPr>
        <w:t>La construction doit observer un recul sur les limites de propriété de 1,90 mètre.</w:t>
      </w:r>
    </w:p>
    <w:p w14:paraId="61136BE3" w14:textId="264FA77C" w:rsidR="0069747B" w:rsidRPr="0069747B" w:rsidRDefault="0069747B" w:rsidP="0069747B">
      <w:pPr>
        <w:pStyle w:val="Heading4"/>
        <w:rPr>
          <w:lang w:val="fr-FR"/>
        </w:rPr>
      </w:pPr>
      <w:r w:rsidRPr="0069747B">
        <w:rPr>
          <w:lang w:val="fr-FR"/>
        </w:rPr>
        <w:t>E.5.2.7</w:t>
      </w:r>
      <w:r>
        <w:rPr>
          <w:lang w:val="fr-FR"/>
        </w:rPr>
        <w:t xml:space="preserve"> </w:t>
      </w:r>
      <w:r w:rsidRPr="0069747B">
        <w:rPr>
          <w:lang w:val="fr-FR"/>
        </w:rPr>
        <w:t>Les accès piétons</w:t>
      </w:r>
    </w:p>
    <w:p w14:paraId="411ED236" w14:textId="77777777" w:rsidR="0069747B" w:rsidRPr="0069747B" w:rsidRDefault="0069747B" w:rsidP="0069747B">
      <w:pPr>
        <w:rPr>
          <w:lang w:val="fr-FR"/>
        </w:rPr>
      </w:pPr>
      <w:r w:rsidRPr="0069747B">
        <w:rPr>
          <w:lang w:val="fr-FR"/>
        </w:rPr>
        <w:t>Dans la zone d’habitation 2, les accès aux bâtiments se font dans la zone d’entrée située en façade avant des résidences. Pour les lots recevant des fonctions autres que l’habitation, les accès aux bâtiments sont à prévoir de préférence de manière séparée pour les différents groupes de personnes.</w:t>
      </w:r>
    </w:p>
    <w:p w14:paraId="567326ED" w14:textId="77777777" w:rsidR="0069747B" w:rsidRPr="0069747B" w:rsidRDefault="0069747B" w:rsidP="0069747B">
      <w:pPr>
        <w:pStyle w:val="Heading3"/>
        <w:rPr>
          <w:lang w:val="fr-FR"/>
        </w:rPr>
      </w:pPr>
      <w:r w:rsidRPr="0069747B">
        <w:rPr>
          <w:lang w:val="fr-FR"/>
        </w:rPr>
        <w:t>E.5.3 Les dispositions pour la zone mixte centrale – [</w:t>
      </w:r>
      <w:proofErr w:type="spellStart"/>
      <w:r w:rsidRPr="0069747B">
        <w:rPr>
          <w:lang w:val="fr-FR"/>
        </w:rPr>
        <w:t>MIX-c</w:t>
      </w:r>
      <w:proofErr w:type="spellEnd"/>
      <w:r w:rsidRPr="0069747B">
        <w:rPr>
          <w:lang w:val="fr-FR"/>
        </w:rPr>
        <w:t>]</w:t>
      </w:r>
    </w:p>
    <w:p w14:paraId="1AA92C9D" w14:textId="6CC98478" w:rsidR="0069747B" w:rsidRPr="0069747B" w:rsidRDefault="0069747B" w:rsidP="0069747B">
      <w:pPr>
        <w:pStyle w:val="Heading4"/>
        <w:rPr>
          <w:lang w:val="fr-FR"/>
        </w:rPr>
      </w:pPr>
      <w:r>
        <w:rPr>
          <w:lang w:val="fr-FR"/>
        </w:rPr>
        <w:t xml:space="preserve">E.5.3.1 </w:t>
      </w:r>
      <w:r w:rsidRPr="0069747B">
        <w:rPr>
          <w:lang w:val="fr-FR"/>
        </w:rPr>
        <w:t>L’implantation, la profond</w:t>
      </w:r>
      <w:r>
        <w:rPr>
          <w:lang w:val="fr-FR"/>
        </w:rPr>
        <w:t>eur et les marges de reculement</w:t>
      </w:r>
    </w:p>
    <w:p w14:paraId="672146B1" w14:textId="19824C2C" w:rsidR="0069747B" w:rsidRPr="0069747B" w:rsidRDefault="0069747B" w:rsidP="0069747B">
      <w:pPr>
        <w:rPr>
          <w:lang w:val="fr-FR"/>
        </w:rPr>
      </w:pPr>
      <w:r w:rsidRPr="0069747B">
        <w:rPr>
          <w:lang w:val="fr-FR"/>
        </w:rPr>
        <w:t xml:space="preserve">L’implantation des constructions se fera à l’intérieur des </w:t>
      </w:r>
      <w:r>
        <w:rPr>
          <w:lang w:val="fr-FR"/>
        </w:rPr>
        <w:t>« </w:t>
      </w:r>
      <w:r w:rsidRPr="0069747B">
        <w:rPr>
          <w:lang w:val="fr-FR"/>
        </w:rPr>
        <w:t>limites de surfaces constructibles pour constructions destinées au séjour prolongé</w:t>
      </w:r>
      <w:r>
        <w:rPr>
          <w:lang w:val="fr-FR"/>
        </w:rPr>
        <w:t> »</w:t>
      </w:r>
      <w:r w:rsidRPr="0069747B">
        <w:rPr>
          <w:lang w:val="fr-FR"/>
        </w:rPr>
        <w:t xml:space="preserve">, des </w:t>
      </w:r>
      <w:r>
        <w:rPr>
          <w:lang w:val="fr-FR"/>
        </w:rPr>
        <w:t>« </w:t>
      </w:r>
      <w:r w:rsidRPr="0069747B">
        <w:rPr>
          <w:lang w:val="fr-FR"/>
        </w:rPr>
        <w:t>alignements obligatoires pour constructions destinées au séjour prolongé</w:t>
      </w:r>
      <w:r>
        <w:rPr>
          <w:lang w:val="fr-FR"/>
        </w:rPr>
        <w:t> »</w:t>
      </w:r>
      <w:r w:rsidRPr="0069747B">
        <w:rPr>
          <w:lang w:val="fr-FR"/>
        </w:rPr>
        <w:t xml:space="preserve">, des </w:t>
      </w:r>
      <w:r>
        <w:rPr>
          <w:lang w:val="fr-FR"/>
        </w:rPr>
        <w:t>« </w:t>
      </w:r>
      <w:r w:rsidRPr="0069747B">
        <w:rPr>
          <w:lang w:val="fr-FR"/>
        </w:rPr>
        <w:t>limites de surface constructibles pour avant-corps</w:t>
      </w:r>
      <w:r>
        <w:rPr>
          <w:lang w:val="fr-FR"/>
        </w:rPr>
        <w:t> »</w:t>
      </w:r>
      <w:r w:rsidRPr="0069747B">
        <w:rPr>
          <w:lang w:val="fr-FR"/>
        </w:rPr>
        <w:t xml:space="preserve"> et des </w:t>
      </w:r>
      <w:r>
        <w:rPr>
          <w:lang w:val="fr-FR"/>
        </w:rPr>
        <w:t>« </w:t>
      </w:r>
      <w:r w:rsidRPr="0069747B">
        <w:rPr>
          <w:lang w:val="fr-FR"/>
        </w:rPr>
        <w:t>limites de surfaces constructibles pour constructions souterraines</w:t>
      </w:r>
      <w:r>
        <w:rPr>
          <w:lang w:val="fr-FR"/>
        </w:rPr>
        <w:t>/r</w:t>
      </w:r>
      <w:r w:rsidRPr="0069747B">
        <w:rPr>
          <w:lang w:val="fr-FR"/>
        </w:rPr>
        <w:t>ez-de-jardin</w:t>
      </w:r>
      <w:r>
        <w:rPr>
          <w:lang w:val="fr-FR"/>
        </w:rPr>
        <w:t> »</w:t>
      </w:r>
      <w:r w:rsidRPr="0069747B">
        <w:rPr>
          <w:lang w:val="fr-FR"/>
        </w:rPr>
        <w:t>, définis dans la partie graphique du PAP QE.</w:t>
      </w:r>
    </w:p>
    <w:p w14:paraId="02A1F555" w14:textId="77777777" w:rsidR="0069747B" w:rsidRPr="0069747B" w:rsidRDefault="0069747B" w:rsidP="0069747B">
      <w:pPr>
        <w:rPr>
          <w:lang w:val="fr-FR"/>
        </w:rPr>
      </w:pPr>
      <w:r w:rsidRPr="0069747B">
        <w:rPr>
          <w:lang w:val="fr-FR"/>
        </w:rPr>
        <w:t>Des passerelles pourront être aménagées entre les constructions du lot A3, des Bloc A, Bloc B et Bloc C, et entre les constructions des lots A2 et A3.</w:t>
      </w:r>
    </w:p>
    <w:p w14:paraId="1A4D691D" w14:textId="77777777" w:rsidR="0069747B" w:rsidRPr="0069747B" w:rsidRDefault="0069747B" w:rsidP="0069747B">
      <w:pPr>
        <w:rPr>
          <w:lang w:val="fr-FR"/>
        </w:rPr>
      </w:pPr>
      <w:r w:rsidRPr="0069747B">
        <w:rPr>
          <w:lang w:val="fr-FR"/>
        </w:rPr>
        <w:t>La profondeur des constructions est définie par la surface résultante de l’implantation maximale des constructions hors sol et en sous-sol.</w:t>
      </w:r>
    </w:p>
    <w:p w14:paraId="26C64FF6" w14:textId="77777777" w:rsidR="0069747B" w:rsidRPr="0069747B" w:rsidRDefault="0069747B" w:rsidP="0069747B">
      <w:pPr>
        <w:rPr>
          <w:lang w:val="fr-FR"/>
        </w:rPr>
      </w:pPr>
      <w:r w:rsidRPr="0069747B">
        <w:rPr>
          <w:lang w:val="fr-FR"/>
        </w:rPr>
        <w:t>Les reculs sur les limites antérieures, latérales et postérieures sont définis dans la partie graphique du PAP QE.</w:t>
      </w:r>
    </w:p>
    <w:p w14:paraId="7FFB181E" w14:textId="24E88C5F" w:rsidR="0069747B" w:rsidRDefault="0069747B" w:rsidP="0069747B">
      <w:pPr>
        <w:rPr>
          <w:lang w:val="fr-FR"/>
        </w:rPr>
      </w:pPr>
      <w:r w:rsidRPr="0069747B">
        <w:rPr>
          <w:lang w:val="fr-FR"/>
        </w:rPr>
        <w:t>Tableau des surfaces construites brutes (SCB) autorisées pour chaque lot</w:t>
      </w:r>
    </w:p>
    <w:tbl>
      <w:tblPr>
        <w:tblStyle w:val="TableGrid"/>
        <w:tblW w:w="8080" w:type="dxa"/>
        <w:jc w:val="center"/>
        <w:tblLook w:val="04A0" w:firstRow="1" w:lastRow="0" w:firstColumn="1" w:lastColumn="0" w:noHBand="0" w:noVBand="1"/>
      </w:tblPr>
      <w:tblGrid>
        <w:gridCol w:w="1701"/>
        <w:gridCol w:w="1418"/>
        <w:gridCol w:w="2413"/>
        <w:gridCol w:w="2548"/>
      </w:tblGrid>
      <w:tr w:rsidR="0069747B" w:rsidRPr="00785C94" w14:paraId="2241286A" w14:textId="77777777" w:rsidTr="00AC0EFF">
        <w:trPr>
          <w:jc w:val="center"/>
        </w:trPr>
        <w:tc>
          <w:tcPr>
            <w:tcW w:w="1701" w:type="dxa"/>
            <w:shd w:val="clear" w:color="auto" w:fill="D9D9D9" w:themeFill="background1" w:themeFillShade="D9"/>
            <w:vAlign w:val="center"/>
          </w:tcPr>
          <w:p w14:paraId="30F7679D" w14:textId="77777777" w:rsidR="0069747B" w:rsidRPr="001E3BF2" w:rsidRDefault="0069747B" w:rsidP="00AC0EFF">
            <w:pPr>
              <w:pStyle w:val="NormalTableau"/>
              <w:jc w:val="center"/>
            </w:pPr>
            <w:r w:rsidRPr="001E3BF2">
              <w:t>Lot</w:t>
            </w:r>
          </w:p>
        </w:tc>
        <w:tc>
          <w:tcPr>
            <w:tcW w:w="1418" w:type="dxa"/>
            <w:shd w:val="clear" w:color="auto" w:fill="D9D9D9" w:themeFill="background1" w:themeFillShade="D9"/>
            <w:vAlign w:val="center"/>
          </w:tcPr>
          <w:p w14:paraId="1E4ED252" w14:textId="33BA2ACE" w:rsidR="0069747B" w:rsidRPr="00785C94" w:rsidRDefault="0069747B" w:rsidP="00AC0EFF">
            <w:pPr>
              <w:pStyle w:val="NormalTableau"/>
              <w:jc w:val="center"/>
              <w:rPr>
                <w:lang w:val="fr-FR"/>
              </w:rPr>
            </w:pPr>
            <w:r w:rsidRPr="00785C94">
              <w:rPr>
                <w:lang w:val="fr-FR"/>
              </w:rPr>
              <w:t>SCB des locaux hors sol (m</w:t>
            </w:r>
            <w:r w:rsidR="00AC0EFF" w:rsidRPr="00AC0EFF">
              <w:rPr>
                <w:vertAlign w:val="superscript"/>
                <w:lang w:val="fr-FR"/>
              </w:rPr>
              <w:t>2</w:t>
            </w:r>
            <w:r w:rsidRPr="00785C94">
              <w:rPr>
                <w:lang w:val="fr-FR"/>
              </w:rPr>
              <w:t>)</w:t>
            </w:r>
          </w:p>
        </w:tc>
        <w:tc>
          <w:tcPr>
            <w:tcW w:w="2413" w:type="dxa"/>
            <w:shd w:val="clear" w:color="auto" w:fill="D9D9D9" w:themeFill="background1" w:themeFillShade="D9"/>
            <w:vAlign w:val="center"/>
          </w:tcPr>
          <w:p w14:paraId="50E756ED" w14:textId="484FFB1E" w:rsidR="0069747B" w:rsidRPr="00785C94" w:rsidRDefault="0069747B" w:rsidP="00AC0EFF">
            <w:pPr>
              <w:pStyle w:val="NormalTableau"/>
              <w:jc w:val="center"/>
              <w:rPr>
                <w:lang w:val="fr-FR"/>
              </w:rPr>
            </w:pPr>
            <w:r w:rsidRPr="00785C94">
              <w:rPr>
                <w:lang w:val="fr-FR"/>
              </w:rPr>
              <w:t>SCB des franchises des locaux aménageables en sous-sol (m</w:t>
            </w:r>
            <w:r w:rsidR="00AC0EFF">
              <w:rPr>
                <w:vertAlign w:val="superscript"/>
                <w:lang w:val="fr-FR"/>
              </w:rPr>
              <w:t>2</w:t>
            </w:r>
            <w:r w:rsidRPr="00785C94">
              <w:rPr>
                <w:lang w:val="fr-FR"/>
              </w:rPr>
              <w:t>)</w:t>
            </w:r>
          </w:p>
        </w:tc>
        <w:tc>
          <w:tcPr>
            <w:tcW w:w="2548" w:type="dxa"/>
            <w:shd w:val="clear" w:color="auto" w:fill="D9D9D9" w:themeFill="background1" w:themeFillShade="D9"/>
            <w:vAlign w:val="center"/>
          </w:tcPr>
          <w:p w14:paraId="55FE9258" w14:textId="77777777" w:rsidR="0069747B" w:rsidRPr="00785C94" w:rsidRDefault="0069747B" w:rsidP="00AC0EFF">
            <w:pPr>
              <w:pStyle w:val="NormalTableau"/>
              <w:jc w:val="center"/>
              <w:rPr>
                <w:lang w:val="fr-FR"/>
              </w:rPr>
            </w:pPr>
            <w:r w:rsidRPr="00785C94">
              <w:rPr>
                <w:lang w:val="fr-FR"/>
              </w:rPr>
              <w:t>SCB des franchises des locaux techniques en toiture (m</w:t>
            </w:r>
            <w:r w:rsidRPr="00785C94">
              <w:rPr>
                <w:vertAlign w:val="superscript"/>
                <w:lang w:val="fr-FR"/>
              </w:rPr>
              <w:t>2</w:t>
            </w:r>
            <w:r w:rsidRPr="00785C94">
              <w:rPr>
                <w:lang w:val="fr-FR"/>
              </w:rPr>
              <w:t>)</w:t>
            </w:r>
          </w:p>
        </w:tc>
      </w:tr>
      <w:tr w:rsidR="0069747B" w14:paraId="29B32F10" w14:textId="77777777" w:rsidTr="00AC0EFF">
        <w:trPr>
          <w:jc w:val="center"/>
        </w:trPr>
        <w:tc>
          <w:tcPr>
            <w:tcW w:w="1701" w:type="dxa"/>
            <w:vAlign w:val="center"/>
          </w:tcPr>
          <w:p w14:paraId="38B83A4F" w14:textId="77777777" w:rsidR="0069747B" w:rsidRPr="00411693" w:rsidRDefault="0069747B" w:rsidP="00AC0EFF">
            <w:pPr>
              <w:pStyle w:val="NormalTableau"/>
              <w:jc w:val="center"/>
            </w:pPr>
            <w:r w:rsidRPr="00411693">
              <w:t>Lot M1</w:t>
            </w:r>
          </w:p>
        </w:tc>
        <w:tc>
          <w:tcPr>
            <w:tcW w:w="1418" w:type="dxa"/>
            <w:vAlign w:val="center"/>
          </w:tcPr>
          <w:p w14:paraId="0EA1AD56" w14:textId="77777777" w:rsidR="0069747B" w:rsidRDefault="0069747B" w:rsidP="00AC0EFF">
            <w:pPr>
              <w:pStyle w:val="NormalTableau"/>
              <w:jc w:val="center"/>
            </w:pPr>
            <w:r>
              <w:t>8 928</w:t>
            </w:r>
          </w:p>
        </w:tc>
        <w:tc>
          <w:tcPr>
            <w:tcW w:w="2413" w:type="dxa"/>
            <w:vAlign w:val="center"/>
          </w:tcPr>
          <w:p w14:paraId="6B837E67" w14:textId="77777777" w:rsidR="0069747B" w:rsidRDefault="0069747B" w:rsidP="00AC0EFF">
            <w:pPr>
              <w:pStyle w:val="NormalTableau"/>
              <w:jc w:val="center"/>
            </w:pPr>
            <w:r>
              <w:t>223</w:t>
            </w:r>
          </w:p>
        </w:tc>
        <w:tc>
          <w:tcPr>
            <w:tcW w:w="2548" w:type="dxa"/>
            <w:vAlign w:val="center"/>
          </w:tcPr>
          <w:p w14:paraId="2E951E2B" w14:textId="77777777" w:rsidR="0069747B" w:rsidRDefault="0069747B" w:rsidP="00AC0EFF">
            <w:pPr>
              <w:pStyle w:val="NormalTableau"/>
              <w:jc w:val="center"/>
            </w:pPr>
            <w:r>
              <w:t>223</w:t>
            </w:r>
          </w:p>
        </w:tc>
      </w:tr>
      <w:tr w:rsidR="0069747B" w:rsidRPr="00460E1E" w14:paraId="17FF0A3E" w14:textId="77777777" w:rsidTr="00AC0EFF">
        <w:trPr>
          <w:jc w:val="center"/>
        </w:trPr>
        <w:tc>
          <w:tcPr>
            <w:tcW w:w="1701" w:type="dxa"/>
            <w:vAlign w:val="center"/>
          </w:tcPr>
          <w:p w14:paraId="5A2151AD" w14:textId="77777777" w:rsidR="0069747B" w:rsidRPr="00411693" w:rsidRDefault="0069747B" w:rsidP="00AC0EFF">
            <w:pPr>
              <w:pStyle w:val="NormalTableau"/>
              <w:jc w:val="center"/>
            </w:pPr>
            <w:r w:rsidRPr="00411693">
              <w:t>Lot M1a + M2a</w:t>
            </w:r>
          </w:p>
        </w:tc>
        <w:tc>
          <w:tcPr>
            <w:tcW w:w="1418" w:type="dxa"/>
            <w:vAlign w:val="center"/>
          </w:tcPr>
          <w:p w14:paraId="4B474405" w14:textId="77777777" w:rsidR="0069747B" w:rsidRPr="00460E1E" w:rsidRDefault="0069747B" w:rsidP="00AC0EFF">
            <w:pPr>
              <w:pStyle w:val="NormalTableau"/>
              <w:jc w:val="center"/>
            </w:pPr>
            <w:r w:rsidRPr="00460E1E">
              <w:t>14 468</w:t>
            </w:r>
          </w:p>
        </w:tc>
        <w:tc>
          <w:tcPr>
            <w:tcW w:w="2413" w:type="dxa"/>
            <w:vAlign w:val="center"/>
          </w:tcPr>
          <w:p w14:paraId="08095C6C" w14:textId="77777777" w:rsidR="0069747B" w:rsidRPr="00460E1E" w:rsidRDefault="0069747B" w:rsidP="00AC0EFF">
            <w:pPr>
              <w:pStyle w:val="NormalTableau"/>
              <w:jc w:val="center"/>
            </w:pPr>
            <w:r w:rsidRPr="00460E1E">
              <w:t>362</w:t>
            </w:r>
          </w:p>
        </w:tc>
        <w:tc>
          <w:tcPr>
            <w:tcW w:w="2548" w:type="dxa"/>
            <w:vAlign w:val="center"/>
          </w:tcPr>
          <w:p w14:paraId="6A2B3E39" w14:textId="77777777" w:rsidR="0069747B" w:rsidRPr="00460E1E" w:rsidRDefault="0069747B" w:rsidP="00AC0EFF">
            <w:pPr>
              <w:pStyle w:val="NormalTableau"/>
              <w:jc w:val="center"/>
            </w:pPr>
            <w:r w:rsidRPr="00460E1E">
              <w:t>362</w:t>
            </w:r>
          </w:p>
        </w:tc>
      </w:tr>
      <w:tr w:rsidR="0069747B" w14:paraId="60BA7609" w14:textId="77777777" w:rsidTr="00AC0EFF">
        <w:trPr>
          <w:jc w:val="center"/>
        </w:trPr>
        <w:tc>
          <w:tcPr>
            <w:tcW w:w="1701" w:type="dxa"/>
            <w:vAlign w:val="center"/>
          </w:tcPr>
          <w:p w14:paraId="2E38B7D4" w14:textId="77777777" w:rsidR="0069747B" w:rsidRPr="00411693" w:rsidRDefault="0069747B" w:rsidP="00AC0EFF">
            <w:pPr>
              <w:pStyle w:val="NormalTableau"/>
              <w:jc w:val="center"/>
            </w:pPr>
            <w:r w:rsidRPr="00411693">
              <w:t>Lot M3a</w:t>
            </w:r>
          </w:p>
        </w:tc>
        <w:tc>
          <w:tcPr>
            <w:tcW w:w="1418" w:type="dxa"/>
            <w:vAlign w:val="center"/>
          </w:tcPr>
          <w:p w14:paraId="50F1088C" w14:textId="77777777" w:rsidR="0069747B" w:rsidRDefault="0069747B" w:rsidP="00AC0EFF">
            <w:pPr>
              <w:pStyle w:val="NormalTableau"/>
              <w:jc w:val="center"/>
            </w:pPr>
            <w:r>
              <w:t>9 916</w:t>
            </w:r>
          </w:p>
        </w:tc>
        <w:tc>
          <w:tcPr>
            <w:tcW w:w="2413" w:type="dxa"/>
            <w:vAlign w:val="center"/>
          </w:tcPr>
          <w:p w14:paraId="49E1B61B" w14:textId="77777777" w:rsidR="0069747B" w:rsidRDefault="0069747B" w:rsidP="00AC0EFF">
            <w:pPr>
              <w:pStyle w:val="NormalTableau"/>
              <w:jc w:val="center"/>
            </w:pPr>
            <w:r>
              <w:t>248</w:t>
            </w:r>
          </w:p>
        </w:tc>
        <w:tc>
          <w:tcPr>
            <w:tcW w:w="2548" w:type="dxa"/>
            <w:vAlign w:val="center"/>
          </w:tcPr>
          <w:p w14:paraId="7313FC14" w14:textId="77777777" w:rsidR="0069747B" w:rsidRDefault="0069747B" w:rsidP="00AC0EFF">
            <w:pPr>
              <w:pStyle w:val="NormalTableau"/>
              <w:jc w:val="center"/>
            </w:pPr>
            <w:r>
              <w:t>248</w:t>
            </w:r>
          </w:p>
        </w:tc>
      </w:tr>
      <w:tr w:rsidR="0069747B" w14:paraId="506D4B3A" w14:textId="77777777" w:rsidTr="00AC0EFF">
        <w:trPr>
          <w:jc w:val="center"/>
        </w:trPr>
        <w:tc>
          <w:tcPr>
            <w:tcW w:w="1701" w:type="dxa"/>
            <w:vAlign w:val="center"/>
          </w:tcPr>
          <w:p w14:paraId="6C4F3153" w14:textId="77777777" w:rsidR="0069747B" w:rsidRPr="00411693" w:rsidRDefault="0069747B" w:rsidP="00AC0EFF">
            <w:pPr>
              <w:pStyle w:val="NormalTableau"/>
              <w:jc w:val="center"/>
            </w:pPr>
            <w:r w:rsidRPr="00411693">
              <w:t>Lot M4a</w:t>
            </w:r>
          </w:p>
        </w:tc>
        <w:tc>
          <w:tcPr>
            <w:tcW w:w="1418" w:type="dxa"/>
            <w:vAlign w:val="center"/>
          </w:tcPr>
          <w:p w14:paraId="3524393C" w14:textId="77777777" w:rsidR="0069747B" w:rsidRDefault="0069747B" w:rsidP="00AC0EFF">
            <w:pPr>
              <w:pStyle w:val="NormalTableau"/>
              <w:jc w:val="center"/>
            </w:pPr>
            <w:r>
              <w:t>14 554</w:t>
            </w:r>
          </w:p>
        </w:tc>
        <w:tc>
          <w:tcPr>
            <w:tcW w:w="2413" w:type="dxa"/>
            <w:vAlign w:val="center"/>
          </w:tcPr>
          <w:p w14:paraId="49B484D8" w14:textId="77777777" w:rsidR="0069747B" w:rsidRDefault="0069747B" w:rsidP="00AC0EFF">
            <w:pPr>
              <w:pStyle w:val="NormalTableau"/>
              <w:jc w:val="center"/>
            </w:pPr>
            <w:r>
              <w:t>364</w:t>
            </w:r>
          </w:p>
        </w:tc>
        <w:tc>
          <w:tcPr>
            <w:tcW w:w="2548" w:type="dxa"/>
            <w:vAlign w:val="center"/>
          </w:tcPr>
          <w:p w14:paraId="2D592857" w14:textId="77777777" w:rsidR="0069747B" w:rsidRDefault="0069747B" w:rsidP="00AC0EFF">
            <w:pPr>
              <w:pStyle w:val="NormalTableau"/>
              <w:jc w:val="center"/>
            </w:pPr>
            <w:r>
              <w:t>364</w:t>
            </w:r>
          </w:p>
        </w:tc>
      </w:tr>
      <w:tr w:rsidR="0069747B" w14:paraId="0B4D8385" w14:textId="77777777" w:rsidTr="00AC0EFF">
        <w:trPr>
          <w:jc w:val="center"/>
        </w:trPr>
        <w:tc>
          <w:tcPr>
            <w:tcW w:w="1701" w:type="dxa"/>
            <w:vAlign w:val="center"/>
          </w:tcPr>
          <w:p w14:paraId="0BEBBDB3" w14:textId="77777777" w:rsidR="0069747B" w:rsidRPr="00411693" w:rsidRDefault="0069747B" w:rsidP="00AC0EFF">
            <w:pPr>
              <w:pStyle w:val="NormalTableau"/>
              <w:jc w:val="center"/>
            </w:pPr>
            <w:r w:rsidRPr="00411693">
              <w:t>Lot M5a</w:t>
            </w:r>
          </w:p>
        </w:tc>
        <w:tc>
          <w:tcPr>
            <w:tcW w:w="1418" w:type="dxa"/>
            <w:vAlign w:val="center"/>
          </w:tcPr>
          <w:p w14:paraId="6DD93665" w14:textId="77777777" w:rsidR="0069747B" w:rsidRDefault="0069747B" w:rsidP="00AC0EFF">
            <w:pPr>
              <w:pStyle w:val="NormalTableau"/>
              <w:jc w:val="center"/>
            </w:pPr>
            <w:r>
              <w:t>10 123</w:t>
            </w:r>
          </w:p>
        </w:tc>
        <w:tc>
          <w:tcPr>
            <w:tcW w:w="2413" w:type="dxa"/>
            <w:vAlign w:val="center"/>
          </w:tcPr>
          <w:p w14:paraId="4108ADA3" w14:textId="77777777" w:rsidR="0069747B" w:rsidRDefault="0069747B" w:rsidP="00AC0EFF">
            <w:pPr>
              <w:pStyle w:val="NormalTableau"/>
              <w:jc w:val="center"/>
            </w:pPr>
            <w:r>
              <w:t>253</w:t>
            </w:r>
          </w:p>
        </w:tc>
        <w:tc>
          <w:tcPr>
            <w:tcW w:w="2548" w:type="dxa"/>
            <w:vAlign w:val="center"/>
          </w:tcPr>
          <w:p w14:paraId="04FA2441" w14:textId="77777777" w:rsidR="0069747B" w:rsidRDefault="0069747B" w:rsidP="00AC0EFF">
            <w:pPr>
              <w:pStyle w:val="NormalTableau"/>
              <w:jc w:val="center"/>
            </w:pPr>
            <w:r>
              <w:t>253</w:t>
            </w:r>
          </w:p>
        </w:tc>
      </w:tr>
      <w:tr w:rsidR="0069747B" w14:paraId="1E1B9244" w14:textId="77777777" w:rsidTr="00AC0EFF">
        <w:trPr>
          <w:jc w:val="center"/>
        </w:trPr>
        <w:tc>
          <w:tcPr>
            <w:tcW w:w="1701" w:type="dxa"/>
            <w:vAlign w:val="center"/>
          </w:tcPr>
          <w:p w14:paraId="37BB37BE" w14:textId="77777777" w:rsidR="0069747B" w:rsidRPr="00411693" w:rsidRDefault="0069747B" w:rsidP="00AC0EFF">
            <w:pPr>
              <w:pStyle w:val="NormalTableau"/>
              <w:jc w:val="center"/>
            </w:pPr>
            <w:r w:rsidRPr="00411693">
              <w:t>Lot M6a</w:t>
            </w:r>
          </w:p>
        </w:tc>
        <w:tc>
          <w:tcPr>
            <w:tcW w:w="1418" w:type="dxa"/>
            <w:vAlign w:val="center"/>
          </w:tcPr>
          <w:p w14:paraId="2456573B" w14:textId="77777777" w:rsidR="0069747B" w:rsidRDefault="0069747B" w:rsidP="00AC0EFF">
            <w:pPr>
              <w:pStyle w:val="NormalTableau"/>
              <w:jc w:val="center"/>
            </w:pPr>
            <w:r>
              <w:t>14 765</w:t>
            </w:r>
          </w:p>
        </w:tc>
        <w:tc>
          <w:tcPr>
            <w:tcW w:w="2413" w:type="dxa"/>
            <w:vAlign w:val="center"/>
          </w:tcPr>
          <w:p w14:paraId="1F5D38CB" w14:textId="77777777" w:rsidR="0069747B" w:rsidRDefault="0069747B" w:rsidP="00AC0EFF">
            <w:pPr>
              <w:pStyle w:val="NormalTableau"/>
              <w:jc w:val="center"/>
            </w:pPr>
            <w:r>
              <w:t>369</w:t>
            </w:r>
          </w:p>
        </w:tc>
        <w:tc>
          <w:tcPr>
            <w:tcW w:w="2548" w:type="dxa"/>
            <w:vAlign w:val="center"/>
          </w:tcPr>
          <w:p w14:paraId="56588CBA" w14:textId="77777777" w:rsidR="0069747B" w:rsidRDefault="0069747B" w:rsidP="00AC0EFF">
            <w:pPr>
              <w:pStyle w:val="NormalTableau"/>
              <w:jc w:val="center"/>
            </w:pPr>
            <w:r>
              <w:t>369</w:t>
            </w:r>
          </w:p>
        </w:tc>
      </w:tr>
      <w:tr w:rsidR="0069747B" w14:paraId="54356924" w14:textId="77777777" w:rsidTr="00AC0EFF">
        <w:trPr>
          <w:jc w:val="center"/>
        </w:trPr>
        <w:tc>
          <w:tcPr>
            <w:tcW w:w="1701" w:type="dxa"/>
            <w:vAlign w:val="center"/>
          </w:tcPr>
          <w:p w14:paraId="22C6F440" w14:textId="77777777" w:rsidR="0069747B" w:rsidRPr="00411693" w:rsidRDefault="0069747B" w:rsidP="00AC0EFF">
            <w:pPr>
              <w:pStyle w:val="NormalTableau"/>
              <w:jc w:val="center"/>
            </w:pPr>
            <w:r w:rsidRPr="00411693">
              <w:t>Lot M7a</w:t>
            </w:r>
          </w:p>
        </w:tc>
        <w:tc>
          <w:tcPr>
            <w:tcW w:w="1418" w:type="dxa"/>
            <w:vAlign w:val="center"/>
          </w:tcPr>
          <w:p w14:paraId="459501E8" w14:textId="77777777" w:rsidR="0069747B" w:rsidRDefault="0069747B" w:rsidP="00AC0EFF">
            <w:pPr>
              <w:pStyle w:val="NormalTableau"/>
              <w:jc w:val="center"/>
            </w:pPr>
            <w:r>
              <w:t>9 075</w:t>
            </w:r>
          </w:p>
        </w:tc>
        <w:tc>
          <w:tcPr>
            <w:tcW w:w="2413" w:type="dxa"/>
            <w:vAlign w:val="center"/>
          </w:tcPr>
          <w:p w14:paraId="00770624" w14:textId="77777777" w:rsidR="0069747B" w:rsidRDefault="0069747B" w:rsidP="00AC0EFF">
            <w:pPr>
              <w:pStyle w:val="NormalTableau"/>
              <w:jc w:val="center"/>
            </w:pPr>
            <w:r>
              <w:t>227</w:t>
            </w:r>
          </w:p>
        </w:tc>
        <w:tc>
          <w:tcPr>
            <w:tcW w:w="2548" w:type="dxa"/>
            <w:vAlign w:val="center"/>
          </w:tcPr>
          <w:p w14:paraId="713332EC" w14:textId="77777777" w:rsidR="0069747B" w:rsidRDefault="0069747B" w:rsidP="00AC0EFF">
            <w:pPr>
              <w:pStyle w:val="NormalTableau"/>
              <w:jc w:val="center"/>
            </w:pPr>
            <w:r>
              <w:t>227</w:t>
            </w:r>
          </w:p>
        </w:tc>
      </w:tr>
      <w:tr w:rsidR="0069747B" w14:paraId="38733279" w14:textId="77777777" w:rsidTr="00AC0EFF">
        <w:trPr>
          <w:jc w:val="center"/>
        </w:trPr>
        <w:tc>
          <w:tcPr>
            <w:tcW w:w="1701" w:type="dxa"/>
            <w:vAlign w:val="center"/>
          </w:tcPr>
          <w:p w14:paraId="200F748E" w14:textId="77777777" w:rsidR="0069747B" w:rsidRPr="00411693" w:rsidRDefault="0069747B" w:rsidP="00AC0EFF">
            <w:pPr>
              <w:pStyle w:val="NormalTableau"/>
              <w:jc w:val="center"/>
            </w:pPr>
            <w:r w:rsidRPr="00411693">
              <w:t>Lot M8a</w:t>
            </w:r>
          </w:p>
        </w:tc>
        <w:tc>
          <w:tcPr>
            <w:tcW w:w="1418" w:type="dxa"/>
            <w:vAlign w:val="center"/>
          </w:tcPr>
          <w:p w14:paraId="0BF72356" w14:textId="77777777" w:rsidR="0069747B" w:rsidRDefault="0069747B" w:rsidP="00AC0EFF">
            <w:pPr>
              <w:pStyle w:val="NormalTableau"/>
              <w:jc w:val="center"/>
            </w:pPr>
            <w:r>
              <w:t>12 205</w:t>
            </w:r>
          </w:p>
        </w:tc>
        <w:tc>
          <w:tcPr>
            <w:tcW w:w="2413" w:type="dxa"/>
            <w:vAlign w:val="center"/>
          </w:tcPr>
          <w:p w14:paraId="2313531D" w14:textId="77777777" w:rsidR="0069747B" w:rsidRDefault="0069747B" w:rsidP="00AC0EFF">
            <w:pPr>
              <w:pStyle w:val="NormalTableau"/>
              <w:jc w:val="center"/>
            </w:pPr>
            <w:r>
              <w:t>305</w:t>
            </w:r>
          </w:p>
        </w:tc>
        <w:tc>
          <w:tcPr>
            <w:tcW w:w="2548" w:type="dxa"/>
            <w:vAlign w:val="center"/>
          </w:tcPr>
          <w:p w14:paraId="37685434" w14:textId="77777777" w:rsidR="0069747B" w:rsidRDefault="0069747B" w:rsidP="00AC0EFF">
            <w:pPr>
              <w:pStyle w:val="NormalTableau"/>
              <w:jc w:val="center"/>
            </w:pPr>
            <w:r>
              <w:t>305</w:t>
            </w:r>
          </w:p>
        </w:tc>
      </w:tr>
      <w:tr w:rsidR="0069747B" w14:paraId="1FE9F80A" w14:textId="77777777" w:rsidTr="00AC0EFF">
        <w:trPr>
          <w:jc w:val="center"/>
        </w:trPr>
        <w:tc>
          <w:tcPr>
            <w:tcW w:w="1701" w:type="dxa"/>
            <w:vAlign w:val="center"/>
          </w:tcPr>
          <w:p w14:paraId="36640ECB" w14:textId="77777777" w:rsidR="0069747B" w:rsidRPr="00411693" w:rsidRDefault="0069747B" w:rsidP="00AC0EFF">
            <w:pPr>
              <w:pStyle w:val="NormalTableau"/>
              <w:jc w:val="center"/>
            </w:pPr>
            <w:r w:rsidRPr="00411693">
              <w:t>Lot M9</w:t>
            </w:r>
          </w:p>
        </w:tc>
        <w:tc>
          <w:tcPr>
            <w:tcW w:w="1418" w:type="dxa"/>
            <w:vAlign w:val="center"/>
          </w:tcPr>
          <w:p w14:paraId="37985C7C" w14:textId="77777777" w:rsidR="0069747B" w:rsidRDefault="0069747B" w:rsidP="00AC0EFF">
            <w:pPr>
              <w:pStyle w:val="NormalTableau"/>
              <w:jc w:val="center"/>
            </w:pPr>
            <w:r>
              <w:t>9 093</w:t>
            </w:r>
          </w:p>
        </w:tc>
        <w:tc>
          <w:tcPr>
            <w:tcW w:w="2413" w:type="dxa"/>
            <w:vAlign w:val="center"/>
          </w:tcPr>
          <w:p w14:paraId="6B20D99C" w14:textId="77777777" w:rsidR="0069747B" w:rsidRDefault="0069747B" w:rsidP="00AC0EFF">
            <w:pPr>
              <w:pStyle w:val="NormalTableau"/>
              <w:jc w:val="center"/>
            </w:pPr>
            <w:r>
              <w:t>227</w:t>
            </w:r>
          </w:p>
        </w:tc>
        <w:tc>
          <w:tcPr>
            <w:tcW w:w="2548" w:type="dxa"/>
            <w:vAlign w:val="center"/>
          </w:tcPr>
          <w:p w14:paraId="66492A55" w14:textId="77777777" w:rsidR="0069747B" w:rsidRDefault="0069747B" w:rsidP="00AC0EFF">
            <w:pPr>
              <w:pStyle w:val="NormalTableau"/>
              <w:jc w:val="center"/>
            </w:pPr>
            <w:r>
              <w:t>227</w:t>
            </w:r>
          </w:p>
        </w:tc>
      </w:tr>
      <w:tr w:rsidR="0069747B" w14:paraId="4E506021" w14:textId="77777777" w:rsidTr="00AC0EFF">
        <w:trPr>
          <w:jc w:val="center"/>
        </w:trPr>
        <w:tc>
          <w:tcPr>
            <w:tcW w:w="1701" w:type="dxa"/>
            <w:vAlign w:val="center"/>
          </w:tcPr>
          <w:p w14:paraId="6DDD6674" w14:textId="77777777" w:rsidR="0069747B" w:rsidRPr="00411693" w:rsidRDefault="0069747B" w:rsidP="00AC0EFF">
            <w:pPr>
              <w:pStyle w:val="NormalTableau"/>
              <w:jc w:val="center"/>
            </w:pPr>
            <w:r w:rsidRPr="00411693">
              <w:t>Lot M10</w:t>
            </w:r>
          </w:p>
        </w:tc>
        <w:tc>
          <w:tcPr>
            <w:tcW w:w="1418" w:type="dxa"/>
            <w:vAlign w:val="center"/>
          </w:tcPr>
          <w:p w14:paraId="61B073A3" w14:textId="77777777" w:rsidR="0069747B" w:rsidRDefault="0069747B" w:rsidP="00AC0EFF">
            <w:pPr>
              <w:pStyle w:val="NormalTableau"/>
              <w:jc w:val="center"/>
            </w:pPr>
            <w:r>
              <w:t>12 223</w:t>
            </w:r>
          </w:p>
        </w:tc>
        <w:tc>
          <w:tcPr>
            <w:tcW w:w="2413" w:type="dxa"/>
            <w:vAlign w:val="center"/>
          </w:tcPr>
          <w:p w14:paraId="49512C06" w14:textId="77777777" w:rsidR="0069747B" w:rsidRDefault="0069747B" w:rsidP="00AC0EFF">
            <w:pPr>
              <w:pStyle w:val="NormalTableau"/>
              <w:jc w:val="center"/>
            </w:pPr>
            <w:r>
              <w:t>306</w:t>
            </w:r>
          </w:p>
        </w:tc>
        <w:tc>
          <w:tcPr>
            <w:tcW w:w="2548" w:type="dxa"/>
            <w:vAlign w:val="center"/>
          </w:tcPr>
          <w:p w14:paraId="4A12CD07" w14:textId="77777777" w:rsidR="0069747B" w:rsidRDefault="0069747B" w:rsidP="00AC0EFF">
            <w:pPr>
              <w:pStyle w:val="NormalTableau"/>
              <w:jc w:val="center"/>
            </w:pPr>
            <w:r>
              <w:t>306</w:t>
            </w:r>
          </w:p>
        </w:tc>
      </w:tr>
      <w:tr w:rsidR="0069747B" w14:paraId="5CB141D6" w14:textId="77777777" w:rsidTr="00AC0EFF">
        <w:trPr>
          <w:jc w:val="center"/>
        </w:trPr>
        <w:tc>
          <w:tcPr>
            <w:tcW w:w="1701" w:type="dxa"/>
            <w:vAlign w:val="center"/>
          </w:tcPr>
          <w:p w14:paraId="7C84C2FA" w14:textId="77777777" w:rsidR="0069747B" w:rsidRPr="00411693" w:rsidRDefault="0069747B" w:rsidP="00AC0EFF">
            <w:pPr>
              <w:pStyle w:val="NormalTableau"/>
              <w:jc w:val="center"/>
            </w:pPr>
            <w:r w:rsidRPr="00411693">
              <w:t>Lot M11B</w:t>
            </w:r>
          </w:p>
        </w:tc>
        <w:tc>
          <w:tcPr>
            <w:tcW w:w="1418" w:type="dxa"/>
            <w:vAlign w:val="center"/>
          </w:tcPr>
          <w:p w14:paraId="0C38EDBB" w14:textId="77777777" w:rsidR="0069747B" w:rsidRDefault="0069747B" w:rsidP="00AC0EFF">
            <w:pPr>
              <w:pStyle w:val="NormalTableau"/>
              <w:jc w:val="center"/>
            </w:pPr>
            <w:r>
              <w:t>0</w:t>
            </w:r>
          </w:p>
        </w:tc>
        <w:tc>
          <w:tcPr>
            <w:tcW w:w="2413" w:type="dxa"/>
            <w:vAlign w:val="center"/>
          </w:tcPr>
          <w:p w14:paraId="7F04CA9D" w14:textId="77777777" w:rsidR="0069747B" w:rsidRDefault="0069747B" w:rsidP="00AC0EFF">
            <w:pPr>
              <w:pStyle w:val="NormalTableau"/>
              <w:jc w:val="center"/>
            </w:pPr>
            <w:r>
              <w:t>0</w:t>
            </w:r>
          </w:p>
        </w:tc>
        <w:tc>
          <w:tcPr>
            <w:tcW w:w="2548" w:type="dxa"/>
            <w:vAlign w:val="center"/>
          </w:tcPr>
          <w:p w14:paraId="75DDE543" w14:textId="77777777" w:rsidR="0069747B" w:rsidRDefault="0069747B" w:rsidP="00AC0EFF">
            <w:pPr>
              <w:pStyle w:val="NormalTableau"/>
              <w:jc w:val="center"/>
            </w:pPr>
            <w:r>
              <w:t>0</w:t>
            </w:r>
          </w:p>
        </w:tc>
      </w:tr>
      <w:tr w:rsidR="0069747B" w14:paraId="60D2F432" w14:textId="77777777" w:rsidTr="00AC0EFF">
        <w:trPr>
          <w:jc w:val="center"/>
        </w:trPr>
        <w:tc>
          <w:tcPr>
            <w:tcW w:w="1701" w:type="dxa"/>
            <w:vAlign w:val="center"/>
          </w:tcPr>
          <w:p w14:paraId="17378A62" w14:textId="77777777" w:rsidR="0069747B" w:rsidRPr="00411693" w:rsidRDefault="0069747B" w:rsidP="00AC0EFF">
            <w:pPr>
              <w:pStyle w:val="NormalTableau"/>
              <w:jc w:val="center"/>
            </w:pPr>
            <w:r w:rsidRPr="00411693">
              <w:lastRenderedPageBreak/>
              <w:t>Lot M11A1</w:t>
            </w:r>
          </w:p>
        </w:tc>
        <w:tc>
          <w:tcPr>
            <w:tcW w:w="1418" w:type="dxa"/>
            <w:vAlign w:val="center"/>
          </w:tcPr>
          <w:p w14:paraId="48C48AB2" w14:textId="77777777" w:rsidR="0069747B" w:rsidRDefault="0069747B" w:rsidP="00AC0EFF">
            <w:pPr>
              <w:pStyle w:val="NormalTableau"/>
              <w:jc w:val="center"/>
            </w:pPr>
            <w:r>
              <w:t>0</w:t>
            </w:r>
          </w:p>
        </w:tc>
        <w:tc>
          <w:tcPr>
            <w:tcW w:w="2413" w:type="dxa"/>
            <w:vAlign w:val="center"/>
          </w:tcPr>
          <w:p w14:paraId="3709B83D" w14:textId="77777777" w:rsidR="0069747B" w:rsidRDefault="0069747B" w:rsidP="00AC0EFF">
            <w:pPr>
              <w:pStyle w:val="NormalTableau"/>
              <w:jc w:val="center"/>
            </w:pPr>
            <w:r>
              <w:t>0</w:t>
            </w:r>
          </w:p>
        </w:tc>
        <w:tc>
          <w:tcPr>
            <w:tcW w:w="2548" w:type="dxa"/>
            <w:vAlign w:val="center"/>
          </w:tcPr>
          <w:p w14:paraId="0AEDD361" w14:textId="77777777" w:rsidR="0069747B" w:rsidRDefault="0069747B" w:rsidP="00AC0EFF">
            <w:pPr>
              <w:pStyle w:val="NormalTableau"/>
              <w:jc w:val="center"/>
            </w:pPr>
            <w:r>
              <w:t>0</w:t>
            </w:r>
          </w:p>
        </w:tc>
      </w:tr>
      <w:tr w:rsidR="0069747B" w14:paraId="5516A8D7" w14:textId="77777777" w:rsidTr="00AC0EFF">
        <w:trPr>
          <w:jc w:val="center"/>
        </w:trPr>
        <w:tc>
          <w:tcPr>
            <w:tcW w:w="1701" w:type="dxa"/>
            <w:vAlign w:val="center"/>
          </w:tcPr>
          <w:p w14:paraId="17EF18B4" w14:textId="77777777" w:rsidR="0069747B" w:rsidRPr="00411693" w:rsidRDefault="0069747B" w:rsidP="00AC0EFF">
            <w:pPr>
              <w:pStyle w:val="NormalTableau"/>
              <w:jc w:val="center"/>
            </w:pPr>
            <w:r w:rsidRPr="00411693">
              <w:t>Lot M11A2</w:t>
            </w:r>
          </w:p>
        </w:tc>
        <w:tc>
          <w:tcPr>
            <w:tcW w:w="1418" w:type="dxa"/>
            <w:vAlign w:val="center"/>
          </w:tcPr>
          <w:p w14:paraId="4A937281" w14:textId="77777777" w:rsidR="0069747B" w:rsidRDefault="0069747B" w:rsidP="00AC0EFF">
            <w:pPr>
              <w:pStyle w:val="NormalTableau"/>
              <w:jc w:val="center"/>
            </w:pPr>
            <w:r>
              <w:t>55 658</w:t>
            </w:r>
          </w:p>
        </w:tc>
        <w:tc>
          <w:tcPr>
            <w:tcW w:w="2413" w:type="dxa"/>
            <w:vAlign w:val="center"/>
          </w:tcPr>
          <w:p w14:paraId="159C92C9" w14:textId="77777777" w:rsidR="0069747B" w:rsidRDefault="0069747B" w:rsidP="00AC0EFF">
            <w:pPr>
              <w:pStyle w:val="NormalTableau"/>
              <w:jc w:val="center"/>
            </w:pPr>
            <w:r>
              <w:t>1 391</w:t>
            </w:r>
          </w:p>
        </w:tc>
        <w:tc>
          <w:tcPr>
            <w:tcW w:w="2548" w:type="dxa"/>
            <w:vAlign w:val="center"/>
          </w:tcPr>
          <w:p w14:paraId="32B7ED48" w14:textId="77777777" w:rsidR="0069747B" w:rsidRDefault="0069747B" w:rsidP="00AC0EFF">
            <w:pPr>
              <w:pStyle w:val="NormalTableau"/>
              <w:jc w:val="center"/>
            </w:pPr>
            <w:r>
              <w:t>1 391</w:t>
            </w:r>
          </w:p>
        </w:tc>
      </w:tr>
      <w:tr w:rsidR="0069747B" w14:paraId="7711E33E" w14:textId="77777777" w:rsidTr="00AC0EFF">
        <w:trPr>
          <w:jc w:val="center"/>
        </w:trPr>
        <w:tc>
          <w:tcPr>
            <w:tcW w:w="1701" w:type="dxa"/>
            <w:vAlign w:val="center"/>
          </w:tcPr>
          <w:p w14:paraId="61581718" w14:textId="77777777" w:rsidR="0069747B" w:rsidRPr="00411693" w:rsidRDefault="0069747B" w:rsidP="00AC0EFF">
            <w:pPr>
              <w:pStyle w:val="NormalTableau"/>
              <w:jc w:val="center"/>
            </w:pPr>
            <w:r w:rsidRPr="00411693">
              <w:t>Lot M11A3</w:t>
            </w:r>
          </w:p>
        </w:tc>
        <w:tc>
          <w:tcPr>
            <w:tcW w:w="1418" w:type="dxa"/>
            <w:vAlign w:val="center"/>
          </w:tcPr>
          <w:p w14:paraId="0B7AEF81" w14:textId="77777777" w:rsidR="0069747B" w:rsidRDefault="0069747B" w:rsidP="00AC0EFF">
            <w:pPr>
              <w:pStyle w:val="NormalTableau"/>
              <w:jc w:val="center"/>
            </w:pPr>
            <w:r>
              <w:t>70 463</w:t>
            </w:r>
          </w:p>
        </w:tc>
        <w:tc>
          <w:tcPr>
            <w:tcW w:w="2413" w:type="dxa"/>
            <w:vAlign w:val="center"/>
          </w:tcPr>
          <w:p w14:paraId="0642DE0A" w14:textId="77777777" w:rsidR="0069747B" w:rsidRDefault="0069747B" w:rsidP="00AC0EFF">
            <w:pPr>
              <w:pStyle w:val="NormalTableau"/>
              <w:jc w:val="center"/>
            </w:pPr>
            <w:r>
              <w:t>1 762</w:t>
            </w:r>
          </w:p>
        </w:tc>
        <w:tc>
          <w:tcPr>
            <w:tcW w:w="2548" w:type="dxa"/>
            <w:vAlign w:val="center"/>
          </w:tcPr>
          <w:p w14:paraId="4E4CE59F" w14:textId="77777777" w:rsidR="0069747B" w:rsidRDefault="0069747B" w:rsidP="00AC0EFF">
            <w:pPr>
              <w:pStyle w:val="NormalTableau"/>
              <w:jc w:val="center"/>
            </w:pPr>
            <w:r>
              <w:t>1 762</w:t>
            </w:r>
          </w:p>
        </w:tc>
      </w:tr>
      <w:tr w:rsidR="0069747B" w14:paraId="27D055C7" w14:textId="77777777" w:rsidTr="00AC0EFF">
        <w:trPr>
          <w:jc w:val="center"/>
        </w:trPr>
        <w:tc>
          <w:tcPr>
            <w:tcW w:w="1701" w:type="dxa"/>
            <w:vAlign w:val="center"/>
          </w:tcPr>
          <w:p w14:paraId="0447C39A" w14:textId="77777777" w:rsidR="0069747B" w:rsidRPr="00411693" w:rsidRDefault="0069747B" w:rsidP="00AC0EFF">
            <w:pPr>
              <w:pStyle w:val="NormalTableau"/>
              <w:jc w:val="center"/>
            </w:pPr>
            <w:r w:rsidRPr="00411693">
              <w:t>Lot MA</w:t>
            </w:r>
          </w:p>
        </w:tc>
        <w:tc>
          <w:tcPr>
            <w:tcW w:w="1418" w:type="dxa"/>
            <w:vAlign w:val="center"/>
          </w:tcPr>
          <w:p w14:paraId="5027AB02" w14:textId="77777777" w:rsidR="0069747B" w:rsidRDefault="0069747B" w:rsidP="00AC0EFF">
            <w:pPr>
              <w:pStyle w:val="NormalTableau"/>
              <w:jc w:val="center"/>
            </w:pPr>
            <w:r>
              <w:t>12 533</w:t>
            </w:r>
          </w:p>
        </w:tc>
        <w:tc>
          <w:tcPr>
            <w:tcW w:w="2413" w:type="dxa"/>
            <w:vAlign w:val="center"/>
          </w:tcPr>
          <w:p w14:paraId="1CD8512F" w14:textId="77777777" w:rsidR="0069747B" w:rsidRDefault="0069747B" w:rsidP="00AC0EFF">
            <w:pPr>
              <w:pStyle w:val="NormalTableau"/>
              <w:jc w:val="center"/>
            </w:pPr>
            <w:r>
              <w:t>313</w:t>
            </w:r>
          </w:p>
        </w:tc>
        <w:tc>
          <w:tcPr>
            <w:tcW w:w="2548" w:type="dxa"/>
            <w:vAlign w:val="center"/>
          </w:tcPr>
          <w:p w14:paraId="31AF294E" w14:textId="77777777" w:rsidR="0069747B" w:rsidRDefault="0069747B" w:rsidP="00AC0EFF">
            <w:pPr>
              <w:pStyle w:val="NormalTableau"/>
              <w:jc w:val="center"/>
            </w:pPr>
            <w:r>
              <w:t>313</w:t>
            </w:r>
          </w:p>
        </w:tc>
      </w:tr>
      <w:tr w:rsidR="0069747B" w14:paraId="45B0282A" w14:textId="77777777" w:rsidTr="00AC0EFF">
        <w:trPr>
          <w:jc w:val="center"/>
        </w:trPr>
        <w:tc>
          <w:tcPr>
            <w:tcW w:w="1701" w:type="dxa"/>
            <w:vAlign w:val="center"/>
          </w:tcPr>
          <w:p w14:paraId="7E776EDC" w14:textId="77777777" w:rsidR="0069747B" w:rsidRPr="00411693" w:rsidRDefault="0069747B" w:rsidP="00AC0EFF">
            <w:pPr>
              <w:pStyle w:val="NormalTableau"/>
              <w:jc w:val="center"/>
            </w:pPr>
            <w:r w:rsidRPr="00411693">
              <w:t>Lot MBC</w:t>
            </w:r>
          </w:p>
        </w:tc>
        <w:tc>
          <w:tcPr>
            <w:tcW w:w="1418" w:type="dxa"/>
            <w:vAlign w:val="center"/>
          </w:tcPr>
          <w:p w14:paraId="46E4D745" w14:textId="77777777" w:rsidR="0069747B" w:rsidRDefault="0069747B" w:rsidP="00AC0EFF">
            <w:pPr>
              <w:pStyle w:val="NormalTableau"/>
              <w:jc w:val="center"/>
            </w:pPr>
            <w:r>
              <w:t>sans objet</w:t>
            </w:r>
          </w:p>
        </w:tc>
        <w:tc>
          <w:tcPr>
            <w:tcW w:w="2413" w:type="dxa"/>
            <w:vAlign w:val="center"/>
          </w:tcPr>
          <w:p w14:paraId="54235AE4" w14:textId="77777777" w:rsidR="0069747B" w:rsidRDefault="0069747B" w:rsidP="00AC0EFF">
            <w:pPr>
              <w:pStyle w:val="NormalTableau"/>
              <w:jc w:val="center"/>
            </w:pPr>
            <w:r>
              <w:t>sans objet</w:t>
            </w:r>
          </w:p>
        </w:tc>
        <w:tc>
          <w:tcPr>
            <w:tcW w:w="2548" w:type="dxa"/>
            <w:vAlign w:val="center"/>
          </w:tcPr>
          <w:p w14:paraId="6B62BB16" w14:textId="77777777" w:rsidR="0069747B" w:rsidRDefault="0069747B" w:rsidP="00AC0EFF">
            <w:pPr>
              <w:pStyle w:val="NormalTableau"/>
              <w:jc w:val="center"/>
            </w:pPr>
            <w:r>
              <w:t>sans objet</w:t>
            </w:r>
          </w:p>
        </w:tc>
      </w:tr>
      <w:tr w:rsidR="0069747B" w14:paraId="6C21EF6D" w14:textId="77777777" w:rsidTr="00AC0EFF">
        <w:trPr>
          <w:jc w:val="center"/>
        </w:trPr>
        <w:tc>
          <w:tcPr>
            <w:tcW w:w="1701" w:type="dxa"/>
            <w:vAlign w:val="center"/>
          </w:tcPr>
          <w:p w14:paraId="12019FC3" w14:textId="77777777" w:rsidR="0069747B" w:rsidRPr="00411693" w:rsidRDefault="0069747B" w:rsidP="00AC0EFF">
            <w:pPr>
              <w:pStyle w:val="NormalTableau"/>
              <w:jc w:val="center"/>
            </w:pPr>
            <w:r w:rsidRPr="00411693">
              <w:t>Lot MD</w:t>
            </w:r>
          </w:p>
        </w:tc>
        <w:tc>
          <w:tcPr>
            <w:tcW w:w="1418" w:type="dxa"/>
            <w:vAlign w:val="center"/>
          </w:tcPr>
          <w:p w14:paraId="635AC0C6" w14:textId="77777777" w:rsidR="0069747B" w:rsidRDefault="0069747B" w:rsidP="00AC0EFF">
            <w:pPr>
              <w:pStyle w:val="NormalTableau"/>
              <w:jc w:val="center"/>
            </w:pPr>
            <w:r>
              <w:t>8 003</w:t>
            </w:r>
          </w:p>
        </w:tc>
        <w:tc>
          <w:tcPr>
            <w:tcW w:w="2413" w:type="dxa"/>
            <w:vAlign w:val="center"/>
          </w:tcPr>
          <w:p w14:paraId="2BA249F7" w14:textId="77777777" w:rsidR="0069747B" w:rsidRDefault="0069747B" w:rsidP="00AC0EFF">
            <w:pPr>
              <w:pStyle w:val="NormalTableau"/>
              <w:jc w:val="center"/>
            </w:pPr>
            <w:r>
              <w:t>200</w:t>
            </w:r>
          </w:p>
        </w:tc>
        <w:tc>
          <w:tcPr>
            <w:tcW w:w="2548" w:type="dxa"/>
            <w:vAlign w:val="center"/>
          </w:tcPr>
          <w:p w14:paraId="0BFC6100" w14:textId="77777777" w:rsidR="0069747B" w:rsidRDefault="0069747B" w:rsidP="00AC0EFF">
            <w:pPr>
              <w:pStyle w:val="NormalTableau"/>
              <w:jc w:val="center"/>
            </w:pPr>
            <w:r>
              <w:t>200</w:t>
            </w:r>
          </w:p>
        </w:tc>
      </w:tr>
    </w:tbl>
    <w:p w14:paraId="085DE8D7" w14:textId="6CEB0BCD" w:rsidR="0069747B" w:rsidRDefault="0069747B" w:rsidP="0069747B">
      <w:pPr>
        <w:rPr>
          <w:lang w:val="fr-FR"/>
        </w:rPr>
      </w:pPr>
    </w:p>
    <w:p w14:paraId="503BA627" w14:textId="75F7D243" w:rsidR="0069747B" w:rsidRPr="0069747B" w:rsidRDefault="0069747B" w:rsidP="0069747B">
      <w:pPr>
        <w:rPr>
          <w:lang w:val="fr-FR"/>
        </w:rPr>
      </w:pPr>
      <w:r w:rsidRPr="0069747B">
        <w:rPr>
          <w:lang w:val="fr-FR"/>
        </w:rPr>
        <w:t>Les franchises des locaux aménageables en sous-sol et des locaux techniques en toiture ne s’appli</w:t>
      </w:r>
      <w:r w:rsidR="00AC0EFF">
        <w:rPr>
          <w:lang w:val="fr-FR"/>
        </w:rPr>
        <w:t>quent qu’en cas de démolition/</w:t>
      </w:r>
      <w:r w:rsidRPr="0069747B">
        <w:rPr>
          <w:lang w:val="fr-FR"/>
        </w:rPr>
        <w:t>reconstruction du bâtiment.</w:t>
      </w:r>
    </w:p>
    <w:p w14:paraId="1B61F8D1" w14:textId="6C7A090D" w:rsidR="0069747B" w:rsidRPr="0069747B" w:rsidRDefault="0069747B" w:rsidP="0069747B">
      <w:pPr>
        <w:rPr>
          <w:lang w:val="fr-FR"/>
        </w:rPr>
      </w:pPr>
      <w:r w:rsidRPr="0069747B">
        <w:rPr>
          <w:lang w:val="fr-FR"/>
        </w:rPr>
        <w:t xml:space="preserve">Par </w:t>
      </w:r>
      <w:r w:rsidR="00AC0EFF">
        <w:rPr>
          <w:lang w:val="fr-FR"/>
        </w:rPr>
        <w:t>« </w:t>
      </w:r>
      <w:r w:rsidRPr="0069747B">
        <w:rPr>
          <w:lang w:val="fr-FR"/>
        </w:rPr>
        <w:t>franchise des locaux aménageables en sous-sol</w:t>
      </w:r>
      <w:r w:rsidR="00AC0EFF">
        <w:rPr>
          <w:lang w:val="fr-FR"/>
        </w:rPr>
        <w:t> »</w:t>
      </w:r>
      <w:r w:rsidRPr="0069747B">
        <w:rPr>
          <w:lang w:val="fr-FR"/>
        </w:rPr>
        <w:t>, on entend la surface jusqu’à concurrence de laquelle des locaux aménageables en sous-sol peuvent être construits sans qu’ils soien</w:t>
      </w:r>
      <w:r w:rsidR="00AC0EFF">
        <w:rPr>
          <w:lang w:val="fr-FR"/>
        </w:rPr>
        <w:t>t à comptabiliser en tant que « </w:t>
      </w:r>
      <w:r w:rsidRPr="0069747B">
        <w:rPr>
          <w:lang w:val="fr-FR"/>
        </w:rPr>
        <w:t>SCB des locaux hors sol</w:t>
      </w:r>
      <w:r w:rsidR="00AC0EFF">
        <w:rPr>
          <w:lang w:val="fr-FR"/>
        </w:rPr>
        <w:t> »</w:t>
      </w:r>
      <w:r w:rsidRPr="0069747B">
        <w:rPr>
          <w:lang w:val="fr-FR"/>
        </w:rPr>
        <w:t xml:space="preserve">. Au-delà de la surface indiquée dans cette franchise, la surface des locaux aménageables en sous-sol est à comptabiliser en tant que </w:t>
      </w:r>
      <w:r w:rsidR="00AC0EFF">
        <w:rPr>
          <w:lang w:val="fr-FR"/>
        </w:rPr>
        <w:t>« </w:t>
      </w:r>
      <w:r w:rsidRPr="0069747B">
        <w:rPr>
          <w:lang w:val="fr-FR"/>
        </w:rPr>
        <w:t>SCB des locaux hors-sol</w:t>
      </w:r>
      <w:r w:rsidR="00AC0EFF">
        <w:rPr>
          <w:lang w:val="fr-FR"/>
        </w:rPr>
        <w:t> »</w:t>
      </w:r>
      <w:r w:rsidRPr="0069747B">
        <w:rPr>
          <w:lang w:val="fr-FR"/>
        </w:rPr>
        <w:t>.</w:t>
      </w:r>
    </w:p>
    <w:p w14:paraId="18932AD1" w14:textId="739DBF92" w:rsidR="0069747B" w:rsidRPr="0069747B" w:rsidRDefault="0069747B" w:rsidP="0069747B">
      <w:pPr>
        <w:rPr>
          <w:lang w:val="fr-FR"/>
        </w:rPr>
      </w:pPr>
      <w:r w:rsidRPr="0069747B">
        <w:rPr>
          <w:lang w:val="fr-FR"/>
        </w:rPr>
        <w:t xml:space="preserve">Par </w:t>
      </w:r>
      <w:r w:rsidR="00AC0EFF">
        <w:rPr>
          <w:lang w:val="fr-FR"/>
        </w:rPr>
        <w:t>« </w:t>
      </w:r>
      <w:r w:rsidRPr="0069747B">
        <w:rPr>
          <w:lang w:val="fr-FR"/>
        </w:rPr>
        <w:t>franchise des locaux techniques en toiture</w:t>
      </w:r>
      <w:r w:rsidR="00AC0EFF">
        <w:rPr>
          <w:lang w:val="fr-FR"/>
        </w:rPr>
        <w:t> »</w:t>
      </w:r>
      <w:r w:rsidRPr="0069747B">
        <w:rPr>
          <w:lang w:val="fr-FR"/>
        </w:rPr>
        <w:t xml:space="preserve">, on entend la surface jusqu’à concurrence de laquelle des locaux techniques en toiture peuvent être construits sans qu’ils soient à comptabiliser en tant que </w:t>
      </w:r>
      <w:r w:rsidR="00AC0EFF">
        <w:rPr>
          <w:lang w:val="fr-FR"/>
        </w:rPr>
        <w:t>« </w:t>
      </w:r>
      <w:r w:rsidRPr="0069747B">
        <w:rPr>
          <w:lang w:val="fr-FR"/>
        </w:rPr>
        <w:t>SCB des locaux hors sol</w:t>
      </w:r>
      <w:r w:rsidR="00AC0EFF">
        <w:rPr>
          <w:lang w:val="fr-FR"/>
        </w:rPr>
        <w:t> »</w:t>
      </w:r>
      <w:r w:rsidRPr="0069747B">
        <w:rPr>
          <w:lang w:val="fr-FR"/>
        </w:rPr>
        <w:t>. Au-delà de la surface indiquée dans cette franchise, la surface de</w:t>
      </w:r>
      <w:r w:rsidR="00AC0EFF">
        <w:rPr>
          <w:lang w:val="fr-FR"/>
        </w:rPr>
        <w:t xml:space="preserve">s locaux techniques en toiture </w:t>
      </w:r>
      <w:r w:rsidRPr="0069747B">
        <w:rPr>
          <w:lang w:val="fr-FR"/>
        </w:rPr>
        <w:t xml:space="preserve">est à comptabiliser en tant que </w:t>
      </w:r>
      <w:r w:rsidR="00AC0EFF">
        <w:rPr>
          <w:lang w:val="fr-FR"/>
        </w:rPr>
        <w:t>« </w:t>
      </w:r>
      <w:r w:rsidRPr="0069747B">
        <w:rPr>
          <w:lang w:val="fr-FR"/>
        </w:rPr>
        <w:t>SCB des locaux hors-</w:t>
      </w:r>
      <w:r w:rsidR="00AC0EFF">
        <w:rPr>
          <w:lang w:val="fr-FR"/>
        </w:rPr>
        <w:t>sol »</w:t>
      </w:r>
      <w:r w:rsidRPr="0069747B">
        <w:rPr>
          <w:lang w:val="fr-FR"/>
        </w:rPr>
        <w:t>.</w:t>
      </w:r>
    </w:p>
    <w:p w14:paraId="60DE52F0" w14:textId="2A52F46F" w:rsidR="0069747B" w:rsidRPr="0069747B" w:rsidRDefault="00AC0EFF" w:rsidP="00AC0EFF">
      <w:pPr>
        <w:pStyle w:val="Heading4"/>
        <w:rPr>
          <w:lang w:val="fr-FR"/>
        </w:rPr>
      </w:pPr>
      <w:r>
        <w:rPr>
          <w:lang w:val="fr-FR"/>
        </w:rPr>
        <w:t xml:space="preserve">E.5.3.2 </w:t>
      </w:r>
      <w:r w:rsidR="0069747B" w:rsidRPr="0069747B">
        <w:rPr>
          <w:lang w:val="fr-FR"/>
        </w:rPr>
        <w:t>Les niveaux et la hauteur</w:t>
      </w:r>
    </w:p>
    <w:p w14:paraId="4C20B82C" w14:textId="77777777" w:rsidR="0069747B" w:rsidRPr="0069747B" w:rsidRDefault="0069747B" w:rsidP="0069747B">
      <w:pPr>
        <w:rPr>
          <w:lang w:val="fr-FR"/>
        </w:rPr>
      </w:pPr>
      <w:r w:rsidRPr="0069747B">
        <w:rPr>
          <w:lang w:val="fr-FR"/>
        </w:rPr>
        <w:t>Le nombre de niveaux et la hauteur à l’acrotère autorisés sont définis dans la partie graphique du PAP QE.</w:t>
      </w:r>
    </w:p>
    <w:p w14:paraId="1E465AE9" w14:textId="153F4408" w:rsidR="0069747B" w:rsidRPr="0069747B" w:rsidRDefault="0069747B" w:rsidP="0069747B">
      <w:pPr>
        <w:rPr>
          <w:lang w:val="fr-FR"/>
        </w:rPr>
      </w:pPr>
      <w:r w:rsidRPr="0069747B">
        <w:rPr>
          <w:lang w:val="fr-FR"/>
        </w:rPr>
        <w:t xml:space="preserve">Pour les parties des constructions aux abords du domaine public des lots M2a, M4a, M6a, M8a, M10, M11A2/A3, une </w:t>
      </w:r>
      <w:r w:rsidR="00AC0EFF">
        <w:rPr>
          <w:lang w:val="fr-FR"/>
        </w:rPr>
        <w:t>« </w:t>
      </w:r>
      <w:r w:rsidRPr="0069747B">
        <w:rPr>
          <w:lang w:val="fr-FR"/>
        </w:rPr>
        <w:t>zone hauteur spécifique</w:t>
      </w:r>
      <w:r w:rsidR="00AC0EFF">
        <w:rPr>
          <w:lang w:val="fr-FR"/>
        </w:rPr>
        <w:t> »</w:t>
      </w:r>
      <w:r w:rsidRPr="0069747B">
        <w:rPr>
          <w:lang w:val="fr-FR"/>
        </w:rPr>
        <w:t xml:space="preserve"> à l’acrotère est définie dans la partie graphique du PAP QE. Cette </w:t>
      </w:r>
      <w:r w:rsidR="00AC0EFF">
        <w:rPr>
          <w:lang w:val="fr-FR"/>
        </w:rPr>
        <w:t>« </w:t>
      </w:r>
      <w:r w:rsidRPr="0069747B">
        <w:rPr>
          <w:lang w:val="fr-FR"/>
        </w:rPr>
        <w:t>zone hauteur spécifique</w:t>
      </w:r>
      <w:r w:rsidR="00AC0EFF">
        <w:rPr>
          <w:lang w:val="fr-FR"/>
        </w:rPr>
        <w:t> »</w:t>
      </w:r>
      <w:r w:rsidRPr="0069747B">
        <w:rPr>
          <w:lang w:val="fr-FR"/>
        </w:rPr>
        <w:t xml:space="preserve"> est à respecter sur toute la profondeur de la surface définie dans la partie graphique du PAP QE.</w:t>
      </w:r>
    </w:p>
    <w:p w14:paraId="0C1A57D7" w14:textId="77777777" w:rsidR="0069747B" w:rsidRPr="0069747B" w:rsidRDefault="0069747B" w:rsidP="00AC0EFF">
      <w:pPr>
        <w:pStyle w:val="Heading3"/>
        <w:rPr>
          <w:lang w:val="fr-FR"/>
        </w:rPr>
      </w:pPr>
      <w:r w:rsidRPr="0069747B">
        <w:rPr>
          <w:lang w:val="fr-FR"/>
        </w:rPr>
        <w:t>E.5.4 Les dispositions pour la zone des bâtiments et d’équipements publics – [BEP]</w:t>
      </w:r>
    </w:p>
    <w:p w14:paraId="69A8999C" w14:textId="21D2D4C1" w:rsidR="0069747B" w:rsidRPr="0069747B" w:rsidRDefault="0069747B" w:rsidP="00AC0EFF">
      <w:pPr>
        <w:pStyle w:val="Heading4"/>
        <w:rPr>
          <w:lang w:val="fr-FR"/>
        </w:rPr>
      </w:pPr>
      <w:r w:rsidRPr="0069747B">
        <w:rPr>
          <w:lang w:val="fr-FR"/>
        </w:rPr>
        <w:t>E.5.4.1</w:t>
      </w:r>
      <w:r w:rsidR="00AC0EFF">
        <w:rPr>
          <w:lang w:val="fr-FR"/>
        </w:rPr>
        <w:t xml:space="preserve"> </w:t>
      </w:r>
      <w:r w:rsidRPr="0069747B">
        <w:rPr>
          <w:lang w:val="fr-FR"/>
        </w:rPr>
        <w:t>L’implantation, la profondeur et les marges de reculement</w:t>
      </w:r>
    </w:p>
    <w:p w14:paraId="0419F2F5" w14:textId="691DA3F5" w:rsidR="0069747B" w:rsidRPr="0069747B" w:rsidRDefault="0069747B" w:rsidP="0069747B">
      <w:pPr>
        <w:rPr>
          <w:lang w:val="fr-FR"/>
        </w:rPr>
      </w:pPr>
      <w:r w:rsidRPr="0069747B">
        <w:rPr>
          <w:lang w:val="fr-FR"/>
        </w:rPr>
        <w:t xml:space="preserve">L’implantation des constructions se fera à l’intérieur des </w:t>
      </w:r>
      <w:r w:rsidR="00AC0EFF">
        <w:rPr>
          <w:lang w:val="fr-FR"/>
        </w:rPr>
        <w:t>« </w:t>
      </w:r>
      <w:r w:rsidRPr="0069747B">
        <w:rPr>
          <w:lang w:val="fr-FR"/>
        </w:rPr>
        <w:t>limites de surfaces constructibles pour constructions destinées au séjour pro</w:t>
      </w:r>
      <w:r w:rsidR="00AC0EFF">
        <w:rPr>
          <w:lang w:val="fr-FR"/>
        </w:rPr>
        <w:t>longé »</w:t>
      </w:r>
      <w:r w:rsidRPr="0069747B">
        <w:rPr>
          <w:lang w:val="fr-FR"/>
        </w:rPr>
        <w:t xml:space="preserve">, des </w:t>
      </w:r>
      <w:r w:rsidR="00AC0EFF">
        <w:rPr>
          <w:lang w:val="fr-FR"/>
        </w:rPr>
        <w:t>« </w:t>
      </w:r>
      <w:r w:rsidRPr="0069747B">
        <w:rPr>
          <w:lang w:val="fr-FR"/>
        </w:rPr>
        <w:t>alignements obligatoires pour constructions destinées au séjour prolongé</w:t>
      </w:r>
      <w:r w:rsidR="00AC0EFF">
        <w:rPr>
          <w:lang w:val="fr-FR"/>
        </w:rPr>
        <w:t> »</w:t>
      </w:r>
      <w:r w:rsidRPr="0069747B">
        <w:rPr>
          <w:lang w:val="fr-FR"/>
        </w:rPr>
        <w:t xml:space="preserve">, des </w:t>
      </w:r>
      <w:r w:rsidR="00AC0EFF">
        <w:rPr>
          <w:lang w:val="fr-FR"/>
        </w:rPr>
        <w:t>« </w:t>
      </w:r>
      <w:r w:rsidRPr="0069747B">
        <w:rPr>
          <w:lang w:val="fr-FR"/>
        </w:rPr>
        <w:t>limites de surface constructibles pour avant-corps</w:t>
      </w:r>
      <w:r w:rsidR="00AC0EFF">
        <w:rPr>
          <w:lang w:val="fr-FR"/>
        </w:rPr>
        <w:t> »</w:t>
      </w:r>
      <w:r w:rsidRPr="0069747B">
        <w:rPr>
          <w:lang w:val="fr-FR"/>
        </w:rPr>
        <w:t xml:space="preserve"> et des </w:t>
      </w:r>
      <w:r w:rsidR="00AC0EFF">
        <w:rPr>
          <w:lang w:val="fr-FR"/>
        </w:rPr>
        <w:t>« </w:t>
      </w:r>
      <w:r w:rsidRPr="0069747B">
        <w:rPr>
          <w:lang w:val="fr-FR"/>
        </w:rPr>
        <w:t>limites de surfaces constructibles pour constructions souterraines/rez-de-jardin</w:t>
      </w:r>
      <w:r w:rsidR="00AC0EFF">
        <w:rPr>
          <w:lang w:val="fr-FR"/>
        </w:rPr>
        <w:t> »</w:t>
      </w:r>
      <w:r w:rsidRPr="0069747B">
        <w:rPr>
          <w:lang w:val="fr-FR"/>
        </w:rPr>
        <w:t>, définis dans la partie graphique du PAP QE.</w:t>
      </w:r>
    </w:p>
    <w:p w14:paraId="728A4916" w14:textId="77777777" w:rsidR="0069747B" w:rsidRPr="0069747B" w:rsidRDefault="0069747B" w:rsidP="0069747B">
      <w:pPr>
        <w:rPr>
          <w:lang w:val="fr-FR"/>
        </w:rPr>
      </w:pPr>
      <w:r w:rsidRPr="0069747B">
        <w:rPr>
          <w:lang w:val="fr-FR"/>
        </w:rPr>
        <w:t>La profondeur des constructions est définie par la surface résultante de l’implantation maximale des constructions hors sol et en sous-sol.</w:t>
      </w:r>
    </w:p>
    <w:p w14:paraId="3E22D803" w14:textId="77777777" w:rsidR="0069747B" w:rsidRPr="0069747B" w:rsidRDefault="0069747B" w:rsidP="0069747B">
      <w:pPr>
        <w:rPr>
          <w:lang w:val="fr-FR"/>
        </w:rPr>
      </w:pPr>
      <w:r w:rsidRPr="0069747B">
        <w:rPr>
          <w:lang w:val="fr-FR"/>
        </w:rPr>
        <w:t>Les reculs sur les limites antérieures, latérales et postérieures sont définis dans la partie graphique du PAP QE.</w:t>
      </w:r>
    </w:p>
    <w:p w14:paraId="1030A432" w14:textId="14F81AED" w:rsidR="0069747B" w:rsidRDefault="0069747B" w:rsidP="0069747B">
      <w:pPr>
        <w:rPr>
          <w:lang w:val="fr-FR"/>
        </w:rPr>
      </w:pPr>
      <w:r w:rsidRPr="0069747B">
        <w:rPr>
          <w:lang w:val="fr-FR"/>
        </w:rPr>
        <w:t>Tableau des surfaces construites brutes (SCB) autorisées pour chaque lot</w:t>
      </w:r>
    </w:p>
    <w:tbl>
      <w:tblPr>
        <w:tblStyle w:val="TableGrid"/>
        <w:tblW w:w="8221" w:type="dxa"/>
        <w:jc w:val="center"/>
        <w:tblLook w:val="04A0" w:firstRow="1" w:lastRow="0" w:firstColumn="1" w:lastColumn="0" w:noHBand="0" w:noVBand="1"/>
      </w:tblPr>
      <w:tblGrid>
        <w:gridCol w:w="1984"/>
        <w:gridCol w:w="1418"/>
        <w:gridCol w:w="2409"/>
        <w:gridCol w:w="2410"/>
      </w:tblGrid>
      <w:tr w:rsidR="0069747B" w:rsidRPr="00AC0EFF" w14:paraId="11C0AB71" w14:textId="77777777" w:rsidTr="00AC0EFF">
        <w:trPr>
          <w:jc w:val="center"/>
        </w:trPr>
        <w:tc>
          <w:tcPr>
            <w:tcW w:w="1984" w:type="dxa"/>
            <w:shd w:val="clear" w:color="auto" w:fill="D9D9D9" w:themeFill="background1" w:themeFillShade="D9"/>
            <w:vAlign w:val="center"/>
          </w:tcPr>
          <w:p w14:paraId="64F049F5" w14:textId="77777777" w:rsidR="0069747B" w:rsidRPr="00AC0EFF" w:rsidRDefault="0069747B" w:rsidP="00AC0EFF">
            <w:pPr>
              <w:pStyle w:val="NormalTableau"/>
              <w:jc w:val="center"/>
            </w:pPr>
            <w:r w:rsidRPr="00AC0EFF">
              <w:lastRenderedPageBreak/>
              <w:t>Lot</w:t>
            </w:r>
          </w:p>
        </w:tc>
        <w:tc>
          <w:tcPr>
            <w:tcW w:w="1418" w:type="dxa"/>
            <w:shd w:val="clear" w:color="auto" w:fill="D9D9D9" w:themeFill="background1" w:themeFillShade="D9"/>
            <w:vAlign w:val="center"/>
          </w:tcPr>
          <w:p w14:paraId="71523A41" w14:textId="77777777" w:rsidR="0069747B" w:rsidRPr="00AC0EFF" w:rsidRDefault="0069747B" w:rsidP="00AC0EFF">
            <w:pPr>
              <w:pStyle w:val="NormalTableau"/>
              <w:jc w:val="center"/>
            </w:pPr>
            <w:r w:rsidRPr="00AC0EFF">
              <w:t>SCB des locaux hors sol (m</w:t>
            </w:r>
            <w:r w:rsidRPr="00AC0EFF">
              <w:rPr>
                <w:vertAlign w:val="superscript"/>
              </w:rPr>
              <w:t>2</w:t>
            </w:r>
            <w:r w:rsidRPr="00AC0EFF">
              <w:t>)</w:t>
            </w:r>
          </w:p>
        </w:tc>
        <w:tc>
          <w:tcPr>
            <w:tcW w:w="2409" w:type="dxa"/>
            <w:shd w:val="clear" w:color="auto" w:fill="D9D9D9" w:themeFill="background1" w:themeFillShade="D9"/>
            <w:vAlign w:val="center"/>
          </w:tcPr>
          <w:p w14:paraId="7A91D249" w14:textId="77777777" w:rsidR="0069747B" w:rsidRPr="00AC0EFF" w:rsidRDefault="0069747B" w:rsidP="00AC0EFF">
            <w:pPr>
              <w:pStyle w:val="NormalTableau"/>
              <w:jc w:val="center"/>
            </w:pPr>
            <w:r w:rsidRPr="00AC0EFF">
              <w:t>SCB des franchises des locaux aménageables en sous-sol (m</w:t>
            </w:r>
            <w:r w:rsidRPr="00AC0EFF">
              <w:rPr>
                <w:vertAlign w:val="superscript"/>
              </w:rPr>
              <w:t>2</w:t>
            </w:r>
            <w:r w:rsidRPr="00AC0EFF">
              <w:t>)</w:t>
            </w:r>
          </w:p>
        </w:tc>
        <w:tc>
          <w:tcPr>
            <w:tcW w:w="2410" w:type="dxa"/>
            <w:shd w:val="clear" w:color="auto" w:fill="D9D9D9" w:themeFill="background1" w:themeFillShade="D9"/>
            <w:vAlign w:val="center"/>
          </w:tcPr>
          <w:p w14:paraId="473D3254" w14:textId="77777777" w:rsidR="0069747B" w:rsidRPr="00AC0EFF" w:rsidRDefault="0069747B" w:rsidP="00AC0EFF">
            <w:pPr>
              <w:pStyle w:val="NormalTableau"/>
              <w:jc w:val="center"/>
            </w:pPr>
            <w:r w:rsidRPr="00AC0EFF">
              <w:t>SCB des franchises des locaux techniques en toiture (m</w:t>
            </w:r>
            <w:r w:rsidRPr="00AC0EFF">
              <w:rPr>
                <w:vertAlign w:val="superscript"/>
              </w:rPr>
              <w:t>2</w:t>
            </w:r>
            <w:r w:rsidRPr="00AC0EFF">
              <w:t>)</w:t>
            </w:r>
          </w:p>
        </w:tc>
      </w:tr>
      <w:tr w:rsidR="0069747B" w:rsidRPr="00AC0EFF" w14:paraId="3DF345EB" w14:textId="77777777" w:rsidTr="00AC0EFF">
        <w:trPr>
          <w:jc w:val="center"/>
        </w:trPr>
        <w:tc>
          <w:tcPr>
            <w:tcW w:w="1984" w:type="dxa"/>
            <w:vAlign w:val="center"/>
          </w:tcPr>
          <w:p w14:paraId="277DC93F" w14:textId="77777777" w:rsidR="0069747B" w:rsidRPr="00AC0EFF" w:rsidRDefault="0069747B" w:rsidP="00AC0EFF">
            <w:pPr>
              <w:pStyle w:val="NormalTableau"/>
              <w:jc w:val="center"/>
            </w:pPr>
            <w:r w:rsidRPr="00AC0EFF">
              <w:t>Lot CHK Bloc CHK1</w:t>
            </w:r>
          </w:p>
        </w:tc>
        <w:tc>
          <w:tcPr>
            <w:tcW w:w="1418" w:type="dxa"/>
            <w:vAlign w:val="center"/>
          </w:tcPr>
          <w:p w14:paraId="1F9E3C66" w14:textId="77777777" w:rsidR="0069747B" w:rsidRPr="00AC0EFF" w:rsidRDefault="0069747B" w:rsidP="00AC0EFF">
            <w:pPr>
              <w:pStyle w:val="NormalTableau"/>
              <w:jc w:val="center"/>
            </w:pPr>
            <w:r w:rsidRPr="00AC0EFF">
              <w:t>72 635</w:t>
            </w:r>
          </w:p>
        </w:tc>
        <w:tc>
          <w:tcPr>
            <w:tcW w:w="2409" w:type="dxa"/>
            <w:vAlign w:val="center"/>
          </w:tcPr>
          <w:p w14:paraId="147FC59C" w14:textId="77777777" w:rsidR="0069747B" w:rsidRPr="00AC0EFF" w:rsidRDefault="0069747B" w:rsidP="00AC0EFF">
            <w:pPr>
              <w:pStyle w:val="NormalTableau"/>
              <w:jc w:val="center"/>
            </w:pPr>
            <w:r w:rsidRPr="00AC0EFF">
              <w:t>1 816</w:t>
            </w:r>
          </w:p>
        </w:tc>
        <w:tc>
          <w:tcPr>
            <w:tcW w:w="2410" w:type="dxa"/>
            <w:vAlign w:val="center"/>
          </w:tcPr>
          <w:p w14:paraId="04CCC020" w14:textId="77777777" w:rsidR="0069747B" w:rsidRPr="00AC0EFF" w:rsidRDefault="0069747B" w:rsidP="00AC0EFF">
            <w:pPr>
              <w:pStyle w:val="NormalTableau"/>
              <w:jc w:val="center"/>
            </w:pPr>
            <w:r w:rsidRPr="00AC0EFF">
              <w:t>1 816</w:t>
            </w:r>
          </w:p>
        </w:tc>
      </w:tr>
      <w:tr w:rsidR="0069747B" w:rsidRPr="00AC0EFF" w14:paraId="13EA40B7" w14:textId="77777777" w:rsidTr="00AC0EFF">
        <w:trPr>
          <w:jc w:val="center"/>
        </w:trPr>
        <w:tc>
          <w:tcPr>
            <w:tcW w:w="1984" w:type="dxa"/>
            <w:vAlign w:val="center"/>
          </w:tcPr>
          <w:p w14:paraId="38CE2E59" w14:textId="77777777" w:rsidR="0069747B" w:rsidRPr="00AC0EFF" w:rsidRDefault="0069747B" w:rsidP="00AC0EFF">
            <w:pPr>
              <w:pStyle w:val="NormalTableau"/>
              <w:jc w:val="center"/>
            </w:pPr>
            <w:r w:rsidRPr="00AC0EFF">
              <w:t>Lot CHK Bloc CHK2</w:t>
            </w:r>
          </w:p>
        </w:tc>
        <w:tc>
          <w:tcPr>
            <w:tcW w:w="1418" w:type="dxa"/>
            <w:vAlign w:val="center"/>
          </w:tcPr>
          <w:p w14:paraId="58D4EE56" w14:textId="77777777" w:rsidR="0069747B" w:rsidRPr="00AC0EFF" w:rsidRDefault="0069747B" w:rsidP="00AC0EFF">
            <w:pPr>
              <w:pStyle w:val="NormalTableau"/>
              <w:jc w:val="center"/>
            </w:pPr>
            <w:r w:rsidRPr="00AC0EFF">
              <w:t>14 840</w:t>
            </w:r>
          </w:p>
        </w:tc>
        <w:tc>
          <w:tcPr>
            <w:tcW w:w="2409" w:type="dxa"/>
            <w:vAlign w:val="center"/>
          </w:tcPr>
          <w:p w14:paraId="7BC8498E" w14:textId="77777777" w:rsidR="0069747B" w:rsidRPr="00AC0EFF" w:rsidRDefault="0069747B" w:rsidP="00AC0EFF">
            <w:pPr>
              <w:pStyle w:val="NormalTableau"/>
              <w:jc w:val="center"/>
            </w:pPr>
            <w:r w:rsidRPr="00AC0EFF">
              <w:t>371</w:t>
            </w:r>
          </w:p>
        </w:tc>
        <w:tc>
          <w:tcPr>
            <w:tcW w:w="2410" w:type="dxa"/>
            <w:vAlign w:val="center"/>
          </w:tcPr>
          <w:p w14:paraId="4DBAD781" w14:textId="77777777" w:rsidR="0069747B" w:rsidRPr="00AC0EFF" w:rsidRDefault="0069747B" w:rsidP="00AC0EFF">
            <w:pPr>
              <w:pStyle w:val="NormalTableau"/>
              <w:jc w:val="center"/>
            </w:pPr>
            <w:r w:rsidRPr="00AC0EFF">
              <w:t>371</w:t>
            </w:r>
          </w:p>
        </w:tc>
      </w:tr>
      <w:tr w:rsidR="0069747B" w:rsidRPr="00AC0EFF" w14:paraId="37CB03E0" w14:textId="77777777" w:rsidTr="00AC0EFF">
        <w:trPr>
          <w:jc w:val="center"/>
        </w:trPr>
        <w:tc>
          <w:tcPr>
            <w:tcW w:w="1984" w:type="dxa"/>
            <w:vAlign w:val="center"/>
          </w:tcPr>
          <w:p w14:paraId="1CC15F96" w14:textId="77777777" w:rsidR="0069747B" w:rsidRPr="00AC0EFF" w:rsidRDefault="0069747B" w:rsidP="00AC0EFF">
            <w:pPr>
              <w:pStyle w:val="NormalTableau"/>
              <w:jc w:val="center"/>
            </w:pPr>
            <w:r w:rsidRPr="00AC0EFF">
              <w:t>Lot Elysis</w:t>
            </w:r>
          </w:p>
        </w:tc>
        <w:tc>
          <w:tcPr>
            <w:tcW w:w="1418" w:type="dxa"/>
            <w:vAlign w:val="center"/>
          </w:tcPr>
          <w:p w14:paraId="417CAC53" w14:textId="77777777" w:rsidR="0069747B" w:rsidRPr="00AC0EFF" w:rsidRDefault="0069747B" w:rsidP="00AC0EFF">
            <w:pPr>
              <w:pStyle w:val="NormalTableau"/>
              <w:jc w:val="center"/>
            </w:pPr>
            <w:r w:rsidRPr="00AC0EFF">
              <w:t>16 913</w:t>
            </w:r>
          </w:p>
        </w:tc>
        <w:tc>
          <w:tcPr>
            <w:tcW w:w="2409" w:type="dxa"/>
            <w:vAlign w:val="center"/>
          </w:tcPr>
          <w:p w14:paraId="66EBB3C8" w14:textId="77777777" w:rsidR="0069747B" w:rsidRPr="00AC0EFF" w:rsidRDefault="0069747B" w:rsidP="00AC0EFF">
            <w:pPr>
              <w:pStyle w:val="NormalTableau"/>
              <w:jc w:val="center"/>
            </w:pPr>
            <w:r w:rsidRPr="00AC0EFF">
              <w:t>423</w:t>
            </w:r>
          </w:p>
        </w:tc>
        <w:tc>
          <w:tcPr>
            <w:tcW w:w="2410" w:type="dxa"/>
            <w:vAlign w:val="center"/>
          </w:tcPr>
          <w:p w14:paraId="7B5CF25E" w14:textId="77777777" w:rsidR="0069747B" w:rsidRPr="00AC0EFF" w:rsidRDefault="0069747B" w:rsidP="00AC0EFF">
            <w:pPr>
              <w:pStyle w:val="NormalTableau"/>
              <w:jc w:val="center"/>
            </w:pPr>
            <w:r w:rsidRPr="00AC0EFF">
              <w:t>423</w:t>
            </w:r>
          </w:p>
        </w:tc>
      </w:tr>
      <w:tr w:rsidR="0069747B" w:rsidRPr="00AC0EFF" w14:paraId="0B33D00B" w14:textId="77777777" w:rsidTr="00AC0EFF">
        <w:trPr>
          <w:jc w:val="center"/>
        </w:trPr>
        <w:tc>
          <w:tcPr>
            <w:tcW w:w="1984" w:type="dxa"/>
            <w:vAlign w:val="center"/>
          </w:tcPr>
          <w:p w14:paraId="02606871" w14:textId="77777777" w:rsidR="0069747B" w:rsidRPr="00AC0EFF" w:rsidRDefault="0069747B" w:rsidP="00AC0EFF">
            <w:pPr>
              <w:pStyle w:val="NormalTableau"/>
              <w:jc w:val="center"/>
            </w:pPr>
            <w:r w:rsidRPr="00AC0EFF">
              <w:t>Lot Rehazenter</w:t>
            </w:r>
          </w:p>
        </w:tc>
        <w:tc>
          <w:tcPr>
            <w:tcW w:w="1418" w:type="dxa"/>
            <w:vAlign w:val="center"/>
          </w:tcPr>
          <w:p w14:paraId="47937624" w14:textId="77777777" w:rsidR="0069747B" w:rsidRPr="00AC0EFF" w:rsidRDefault="0069747B" w:rsidP="00AC0EFF">
            <w:pPr>
              <w:pStyle w:val="NormalTableau"/>
              <w:jc w:val="center"/>
            </w:pPr>
            <w:r w:rsidRPr="00AC0EFF">
              <w:t>sans objet</w:t>
            </w:r>
          </w:p>
        </w:tc>
        <w:tc>
          <w:tcPr>
            <w:tcW w:w="2409" w:type="dxa"/>
            <w:vAlign w:val="center"/>
          </w:tcPr>
          <w:p w14:paraId="7F281AAB" w14:textId="77777777" w:rsidR="0069747B" w:rsidRPr="00AC0EFF" w:rsidRDefault="0069747B" w:rsidP="00AC0EFF">
            <w:pPr>
              <w:pStyle w:val="NormalTableau"/>
              <w:jc w:val="center"/>
            </w:pPr>
            <w:r w:rsidRPr="00AC0EFF">
              <w:t>sans objet</w:t>
            </w:r>
          </w:p>
        </w:tc>
        <w:tc>
          <w:tcPr>
            <w:tcW w:w="2410" w:type="dxa"/>
            <w:vAlign w:val="center"/>
          </w:tcPr>
          <w:p w14:paraId="40940FED" w14:textId="77777777" w:rsidR="0069747B" w:rsidRPr="00AC0EFF" w:rsidRDefault="0069747B" w:rsidP="00AC0EFF">
            <w:pPr>
              <w:pStyle w:val="NormalTableau"/>
              <w:jc w:val="center"/>
            </w:pPr>
            <w:r w:rsidRPr="00AC0EFF">
              <w:t>sans objet</w:t>
            </w:r>
          </w:p>
        </w:tc>
      </w:tr>
    </w:tbl>
    <w:p w14:paraId="0D2DB7D0" w14:textId="5DC0DA69" w:rsidR="0069747B" w:rsidRDefault="0069747B" w:rsidP="0069747B">
      <w:pPr>
        <w:rPr>
          <w:lang w:val="fr-FR"/>
        </w:rPr>
      </w:pPr>
    </w:p>
    <w:p w14:paraId="2BEDD619" w14:textId="5B4D05D6" w:rsidR="0069747B" w:rsidRPr="0069747B" w:rsidRDefault="0069747B" w:rsidP="0069747B">
      <w:pPr>
        <w:rPr>
          <w:lang w:val="fr-FR"/>
        </w:rPr>
      </w:pPr>
      <w:r w:rsidRPr="0069747B">
        <w:rPr>
          <w:lang w:val="fr-FR"/>
        </w:rPr>
        <w:t>Les franchises des locaux aménageables en sous-sol et des locaux techniques en toiture ne s’app</w:t>
      </w:r>
      <w:r w:rsidR="00AC0EFF">
        <w:rPr>
          <w:lang w:val="fr-FR"/>
        </w:rPr>
        <w:t>liquent qu’en cas de démolition</w:t>
      </w:r>
      <w:r w:rsidRPr="0069747B">
        <w:rPr>
          <w:lang w:val="fr-FR"/>
        </w:rPr>
        <w:t>/reconstruction du bâtiment.</w:t>
      </w:r>
    </w:p>
    <w:p w14:paraId="5E3B3FCD" w14:textId="20E82BAE" w:rsidR="0069747B" w:rsidRPr="0069747B" w:rsidRDefault="0069747B" w:rsidP="0069747B">
      <w:pPr>
        <w:rPr>
          <w:lang w:val="fr-FR"/>
        </w:rPr>
      </w:pPr>
      <w:r w:rsidRPr="0069747B">
        <w:rPr>
          <w:lang w:val="fr-FR"/>
        </w:rPr>
        <w:t xml:space="preserve">Par </w:t>
      </w:r>
      <w:r w:rsidR="00AC0EFF">
        <w:rPr>
          <w:lang w:val="fr-FR"/>
        </w:rPr>
        <w:t>« </w:t>
      </w:r>
      <w:r w:rsidRPr="0069747B">
        <w:rPr>
          <w:lang w:val="fr-FR"/>
        </w:rPr>
        <w:t>franchise des locaux aménageables en sous-sol</w:t>
      </w:r>
      <w:r w:rsidR="00AC0EFF">
        <w:rPr>
          <w:lang w:val="fr-FR"/>
        </w:rPr>
        <w:t> »</w:t>
      </w:r>
      <w:r w:rsidRPr="0069747B">
        <w:rPr>
          <w:lang w:val="fr-FR"/>
        </w:rPr>
        <w:t xml:space="preserve">, on entend la surface jusqu’à concurrence de laquelle des locaux aménageables en sous-sol peuvent être construits sans qu’ils soient à comptabiliser en tant que </w:t>
      </w:r>
      <w:r w:rsidR="00AC0EFF">
        <w:rPr>
          <w:lang w:val="fr-FR"/>
        </w:rPr>
        <w:t>« </w:t>
      </w:r>
      <w:r w:rsidRPr="0069747B">
        <w:rPr>
          <w:lang w:val="fr-FR"/>
        </w:rPr>
        <w:t>SCB des locaux hors sol</w:t>
      </w:r>
      <w:r w:rsidR="00AC0EFF">
        <w:rPr>
          <w:lang w:val="fr-FR"/>
        </w:rPr>
        <w:t> »</w:t>
      </w:r>
      <w:r w:rsidRPr="0069747B">
        <w:rPr>
          <w:lang w:val="fr-FR"/>
        </w:rPr>
        <w:t xml:space="preserve">. Au-delà de la surface indiquée dans cette franchise, la surface des locaux aménageables en sous-sol est à comptabiliser en tant que </w:t>
      </w:r>
      <w:r w:rsidR="00AC0EFF">
        <w:rPr>
          <w:lang w:val="fr-FR"/>
        </w:rPr>
        <w:t>« </w:t>
      </w:r>
      <w:r w:rsidRPr="0069747B">
        <w:rPr>
          <w:lang w:val="fr-FR"/>
        </w:rPr>
        <w:t>SCB des locaux hors-sol</w:t>
      </w:r>
      <w:r w:rsidR="00AC0EFF">
        <w:rPr>
          <w:lang w:val="fr-FR"/>
        </w:rPr>
        <w:t> »</w:t>
      </w:r>
      <w:r w:rsidRPr="0069747B">
        <w:rPr>
          <w:lang w:val="fr-FR"/>
        </w:rPr>
        <w:t>.</w:t>
      </w:r>
    </w:p>
    <w:p w14:paraId="220B9130" w14:textId="54AE07BE" w:rsidR="0069747B" w:rsidRPr="0069747B" w:rsidRDefault="00AC0EFF" w:rsidP="0069747B">
      <w:pPr>
        <w:rPr>
          <w:lang w:val="fr-FR"/>
        </w:rPr>
      </w:pPr>
      <w:r>
        <w:rPr>
          <w:lang w:val="fr-FR"/>
        </w:rPr>
        <w:t>Par « </w:t>
      </w:r>
      <w:r w:rsidR="0069747B" w:rsidRPr="0069747B">
        <w:rPr>
          <w:lang w:val="fr-FR"/>
        </w:rPr>
        <w:t>franchise des locaux techniques en toiture</w:t>
      </w:r>
      <w:r>
        <w:rPr>
          <w:lang w:val="fr-FR"/>
        </w:rPr>
        <w:t> »</w:t>
      </w:r>
      <w:r w:rsidR="0069747B" w:rsidRPr="0069747B">
        <w:rPr>
          <w:lang w:val="fr-FR"/>
        </w:rPr>
        <w:t xml:space="preserve">, on entend la surface jusqu’à concurrence de laquelle des locaux techniques en toiture peuvent être construits sans qu’ils soient à comptabiliser en tant que </w:t>
      </w:r>
      <w:r>
        <w:rPr>
          <w:lang w:val="fr-FR"/>
        </w:rPr>
        <w:t>« </w:t>
      </w:r>
      <w:r w:rsidR="0069747B" w:rsidRPr="0069747B">
        <w:rPr>
          <w:lang w:val="fr-FR"/>
        </w:rPr>
        <w:t>SCB des locaux hors sol</w:t>
      </w:r>
      <w:r>
        <w:rPr>
          <w:lang w:val="fr-FR"/>
        </w:rPr>
        <w:t> »</w:t>
      </w:r>
      <w:r w:rsidR="0069747B" w:rsidRPr="0069747B">
        <w:rPr>
          <w:lang w:val="fr-FR"/>
        </w:rPr>
        <w:t>. Au-delà de la surface indiquée dans cette franchise, la surface de</w:t>
      </w:r>
      <w:r>
        <w:rPr>
          <w:lang w:val="fr-FR"/>
        </w:rPr>
        <w:t xml:space="preserve">s locaux techniques en toiture </w:t>
      </w:r>
      <w:r w:rsidR="0069747B" w:rsidRPr="0069747B">
        <w:rPr>
          <w:lang w:val="fr-FR"/>
        </w:rPr>
        <w:t xml:space="preserve">est à comptabiliser en tant que </w:t>
      </w:r>
      <w:r>
        <w:rPr>
          <w:lang w:val="fr-FR"/>
        </w:rPr>
        <w:t>« </w:t>
      </w:r>
      <w:r w:rsidR="0069747B" w:rsidRPr="0069747B">
        <w:rPr>
          <w:lang w:val="fr-FR"/>
        </w:rPr>
        <w:t>SCB des locaux hors-sol</w:t>
      </w:r>
      <w:r>
        <w:rPr>
          <w:lang w:val="fr-FR"/>
        </w:rPr>
        <w:t> »</w:t>
      </w:r>
      <w:r w:rsidR="0069747B" w:rsidRPr="0069747B">
        <w:rPr>
          <w:lang w:val="fr-FR"/>
        </w:rPr>
        <w:t>.</w:t>
      </w:r>
    </w:p>
    <w:p w14:paraId="30CD9FA0" w14:textId="48E164E8" w:rsidR="0069747B" w:rsidRPr="0069747B" w:rsidRDefault="00AC0EFF" w:rsidP="00AC0EFF">
      <w:pPr>
        <w:pStyle w:val="Heading4"/>
        <w:rPr>
          <w:lang w:val="fr-FR"/>
        </w:rPr>
      </w:pPr>
      <w:r>
        <w:rPr>
          <w:lang w:val="fr-FR"/>
        </w:rPr>
        <w:t xml:space="preserve">E.5.4.2 </w:t>
      </w:r>
      <w:r w:rsidR="0069747B" w:rsidRPr="0069747B">
        <w:rPr>
          <w:lang w:val="fr-FR"/>
        </w:rPr>
        <w:t>Les niveaux et la hauteur</w:t>
      </w:r>
    </w:p>
    <w:p w14:paraId="5B719803" w14:textId="77777777" w:rsidR="0069747B" w:rsidRPr="0069747B" w:rsidRDefault="0069747B" w:rsidP="0069747B">
      <w:pPr>
        <w:rPr>
          <w:lang w:val="fr-FR"/>
        </w:rPr>
      </w:pPr>
      <w:r w:rsidRPr="0069747B">
        <w:rPr>
          <w:lang w:val="fr-FR"/>
        </w:rPr>
        <w:t>Le nombre de niveaux et la hauteur à l’acrotère autorisés sont définis dans la partie graphique (plan et coupes) du PAP QE.</w:t>
      </w:r>
    </w:p>
    <w:p w14:paraId="2FE19198" w14:textId="7FAF2E03" w:rsidR="0069747B" w:rsidRPr="0069747B" w:rsidRDefault="0069747B" w:rsidP="0069747B">
      <w:pPr>
        <w:rPr>
          <w:lang w:val="fr-FR"/>
        </w:rPr>
      </w:pPr>
      <w:r w:rsidRPr="0069747B">
        <w:rPr>
          <w:lang w:val="fr-FR"/>
        </w:rPr>
        <w:t xml:space="preserve">Pour les parties des constructions aux abords du domaine public, une </w:t>
      </w:r>
      <w:r w:rsidR="00AC0EFF">
        <w:rPr>
          <w:lang w:val="fr-FR"/>
        </w:rPr>
        <w:t>« </w:t>
      </w:r>
      <w:r w:rsidRPr="0069747B">
        <w:rPr>
          <w:lang w:val="fr-FR"/>
        </w:rPr>
        <w:t>zone hauteur spécifique</w:t>
      </w:r>
      <w:r w:rsidR="00AC0EFF">
        <w:rPr>
          <w:lang w:val="fr-FR"/>
        </w:rPr>
        <w:t> »</w:t>
      </w:r>
      <w:r w:rsidRPr="0069747B">
        <w:rPr>
          <w:lang w:val="fr-FR"/>
        </w:rPr>
        <w:t xml:space="preserve"> à l’acrotère est définie dans la partie graphique du PAP QE. Cette </w:t>
      </w:r>
      <w:r w:rsidR="00AC0EFF">
        <w:rPr>
          <w:lang w:val="fr-FR"/>
        </w:rPr>
        <w:t>« </w:t>
      </w:r>
      <w:r w:rsidRPr="0069747B">
        <w:rPr>
          <w:lang w:val="fr-FR"/>
        </w:rPr>
        <w:t>zone hauteur spécifique</w:t>
      </w:r>
      <w:r w:rsidR="00AC0EFF">
        <w:rPr>
          <w:lang w:val="fr-FR"/>
        </w:rPr>
        <w:t> »</w:t>
      </w:r>
      <w:r w:rsidRPr="0069747B">
        <w:rPr>
          <w:lang w:val="fr-FR"/>
        </w:rPr>
        <w:t xml:space="preserve"> est à respecter sur toute la profondeur de la surface définie dans la partie graphique du PAP QE.</w:t>
      </w:r>
    </w:p>
    <w:p w14:paraId="7B9B3A46" w14:textId="77777777" w:rsidR="0069747B" w:rsidRPr="0069747B" w:rsidRDefault="0069747B" w:rsidP="00AC0EFF">
      <w:pPr>
        <w:pStyle w:val="Heading3"/>
        <w:rPr>
          <w:lang w:val="fr-FR"/>
        </w:rPr>
      </w:pPr>
      <w:r w:rsidRPr="0069747B">
        <w:rPr>
          <w:lang w:val="fr-FR"/>
        </w:rPr>
        <w:t>E.5.5 Les dispositions particulières pour les trois zones</w:t>
      </w:r>
    </w:p>
    <w:p w14:paraId="0D178944" w14:textId="650B29B6" w:rsidR="0069747B" w:rsidRPr="0069747B" w:rsidRDefault="00AC0EFF" w:rsidP="00AC0EFF">
      <w:pPr>
        <w:pStyle w:val="Heading4"/>
        <w:rPr>
          <w:lang w:val="fr-FR"/>
        </w:rPr>
      </w:pPr>
      <w:r>
        <w:rPr>
          <w:lang w:val="fr-FR"/>
        </w:rPr>
        <w:t xml:space="preserve">E.5.5.1 </w:t>
      </w:r>
      <w:r w:rsidR="0069747B" w:rsidRPr="0069747B">
        <w:rPr>
          <w:lang w:val="fr-FR"/>
        </w:rPr>
        <w:t>La façade</w:t>
      </w:r>
    </w:p>
    <w:p w14:paraId="5AF9B6AA" w14:textId="77777777" w:rsidR="0069747B" w:rsidRPr="0069747B" w:rsidRDefault="0069747B" w:rsidP="0069747B">
      <w:pPr>
        <w:rPr>
          <w:lang w:val="fr-FR"/>
        </w:rPr>
      </w:pPr>
      <w:r w:rsidRPr="0069747B">
        <w:rPr>
          <w:lang w:val="fr-FR"/>
        </w:rPr>
        <w:t>L’alignement de la toiture sur l’avenue J.-F. Kennedy doit être poursuivi sur toute la largeur de la façade.</w:t>
      </w:r>
    </w:p>
    <w:p w14:paraId="38E1841B" w14:textId="77777777" w:rsidR="0069747B" w:rsidRPr="0069747B" w:rsidRDefault="0069747B" w:rsidP="0069747B">
      <w:pPr>
        <w:rPr>
          <w:lang w:val="fr-FR"/>
        </w:rPr>
      </w:pPr>
      <w:r w:rsidRPr="0069747B">
        <w:rPr>
          <w:lang w:val="fr-FR"/>
        </w:rPr>
        <w:t>Les matériaux et couleurs des façades s’intègrent de façon harmonieuse dans le contexte. L’utilisation de verre miroitant et/ou teinté n’est pas autorisée.</w:t>
      </w:r>
    </w:p>
    <w:p w14:paraId="3E95CC50" w14:textId="34B298AB" w:rsidR="0069747B" w:rsidRPr="0069747B" w:rsidRDefault="00AC0EFF" w:rsidP="00AC0EFF">
      <w:pPr>
        <w:pStyle w:val="Heading4"/>
        <w:rPr>
          <w:lang w:val="fr-FR"/>
        </w:rPr>
      </w:pPr>
      <w:r>
        <w:rPr>
          <w:lang w:val="fr-FR"/>
        </w:rPr>
        <w:t xml:space="preserve">E.5.5.2 </w:t>
      </w:r>
      <w:r w:rsidR="0069747B" w:rsidRPr="0069747B">
        <w:rPr>
          <w:lang w:val="fr-FR"/>
        </w:rPr>
        <w:t>Les toitures</w:t>
      </w:r>
    </w:p>
    <w:p w14:paraId="13CBDE00" w14:textId="77777777" w:rsidR="0069747B" w:rsidRPr="0069747B" w:rsidRDefault="0069747B" w:rsidP="0069747B">
      <w:pPr>
        <w:rPr>
          <w:lang w:val="fr-FR"/>
        </w:rPr>
      </w:pPr>
      <w:r w:rsidRPr="0069747B">
        <w:rPr>
          <w:lang w:val="fr-FR"/>
        </w:rPr>
        <w:t>De manière générale, la toiture est à prévoir sous forme d’une toiture verte.</w:t>
      </w:r>
    </w:p>
    <w:p w14:paraId="0F105DAD" w14:textId="77777777" w:rsidR="0069747B" w:rsidRPr="0069747B" w:rsidRDefault="0069747B" w:rsidP="0069747B">
      <w:pPr>
        <w:rPr>
          <w:lang w:val="fr-FR"/>
        </w:rPr>
      </w:pPr>
      <w:r w:rsidRPr="0069747B">
        <w:rPr>
          <w:lang w:val="fr-FR"/>
        </w:rPr>
        <w:t>Des toitures terrasses et des jardins avec superstructures sont autorisés à condition de respecter un recul de 2 mètres minimum par rapport à l’alignement de la façade.</w:t>
      </w:r>
    </w:p>
    <w:p w14:paraId="01E667C1" w14:textId="6746E190" w:rsidR="0069747B" w:rsidRPr="0069747B" w:rsidRDefault="00AC0EFF" w:rsidP="00AC0EFF">
      <w:pPr>
        <w:pStyle w:val="Heading4"/>
        <w:rPr>
          <w:lang w:val="fr-FR"/>
        </w:rPr>
      </w:pPr>
      <w:r>
        <w:rPr>
          <w:lang w:val="fr-FR"/>
        </w:rPr>
        <w:lastRenderedPageBreak/>
        <w:t xml:space="preserve">E.5.5.3 </w:t>
      </w:r>
      <w:r w:rsidR="0069747B" w:rsidRPr="0069747B">
        <w:rPr>
          <w:lang w:val="fr-FR"/>
        </w:rPr>
        <w:t>Les constructions annexes</w:t>
      </w:r>
    </w:p>
    <w:p w14:paraId="7F270989" w14:textId="77777777" w:rsidR="0069747B" w:rsidRPr="0069747B" w:rsidRDefault="0069747B" w:rsidP="0069747B">
      <w:pPr>
        <w:rPr>
          <w:lang w:val="fr-FR"/>
        </w:rPr>
      </w:pPr>
      <w:r w:rsidRPr="0069747B">
        <w:rPr>
          <w:lang w:val="fr-FR"/>
        </w:rPr>
        <w:t>Les constructions annexes (container, pavillon, équipement pour séchage du linge, etc.) sont autorisées.</w:t>
      </w:r>
    </w:p>
    <w:p w14:paraId="17A5D658" w14:textId="388F9B31" w:rsidR="0069747B" w:rsidRPr="0069747B" w:rsidRDefault="00AC0EFF" w:rsidP="00AC0EFF">
      <w:pPr>
        <w:pStyle w:val="Heading4"/>
        <w:rPr>
          <w:lang w:val="fr-FR"/>
        </w:rPr>
      </w:pPr>
      <w:r>
        <w:rPr>
          <w:lang w:val="fr-FR"/>
        </w:rPr>
        <w:t xml:space="preserve">E.5.5.4 </w:t>
      </w:r>
      <w:r w:rsidR="0069747B" w:rsidRPr="0069747B">
        <w:rPr>
          <w:lang w:val="fr-FR"/>
        </w:rPr>
        <w:t>Les installations techniques et superstructures</w:t>
      </w:r>
    </w:p>
    <w:p w14:paraId="501CA50A" w14:textId="77777777" w:rsidR="0069747B" w:rsidRPr="0069747B" w:rsidRDefault="0069747B" w:rsidP="0069747B">
      <w:pPr>
        <w:rPr>
          <w:lang w:val="fr-FR"/>
        </w:rPr>
      </w:pPr>
      <w:r w:rsidRPr="0069747B">
        <w:rPr>
          <w:lang w:val="fr-FR"/>
        </w:rPr>
        <w:t>Les installations techniques sont à intégrer prioritairement dans le sous-sol du bâtiment. Seules les installations techniques et les superstructures devant être installées en toiture pour des raisons techniques peuvent y être aménagées et sont à intégrer dans le concept architectural.</w:t>
      </w:r>
    </w:p>
    <w:p w14:paraId="75F45DE0" w14:textId="0227D9D1" w:rsidR="0069747B" w:rsidRPr="0069747B" w:rsidRDefault="0069747B" w:rsidP="0069747B">
      <w:pPr>
        <w:rPr>
          <w:lang w:val="fr-FR"/>
        </w:rPr>
      </w:pPr>
      <w:r w:rsidRPr="0069747B">
        <w:rPr>
          <w:lang w:val="fr-FR"/>
        </w:rPr>
        <w:t>Dans la zone d’habitation 2, la surface maximale des installations techniques tolérée en toiture est de 10% de la surfa</w:t>
      </w:r>
      <w:r w:rsidR="00AC0EFF">
        <w:rPr>
          <w:lang w:val="fr-FR"/>
        </w:rPr>
        <w:t>ce brute de l’étage en dessous.</w:t>
      </w:r>
    </w:p>
    <w:p w14:paraId="3AC25422" w14:textId="77777777" w:rsidR="0069747B" w:rsidRPr="0069747B" w:rsidRDefault="0069747B" w:rsidP="0069747B">
      <w:pPr>
        <w:rPr>
          <w:lang w:val="fr-FR"/>
        </w:rPr>
      </w:pPr>
      <w:r w:rsidRPr="0069747B">
        <w:rPr>
          <w:lang w:val="fr-FR"/>
        </w:rPr>
        <w:t xml:space="preserve">Dans la zone mixte urbaine centrale, la surface maximale des installations techniques tolérée en toiture est de 15% de la surface brute de l’étage en dessous. </w:t>
      </w:r>
    </w:p>
    <w:p w14:paraId="4C227CA2" w14:textId="77777777" w:rsidR="0069747B" w:rsidRPr="0069747B" w:rsidRDefault="0069747B" w:rsidP="0069747B">
      <w:pPr>
        <w:rPr>
          <w:lang w:val="fr-FR"/>
        </w:rPr>
      </w:pPr>
      <w:r w:rsidRPr="0069747B">
        <w:rPr>
          <w:lang w:val="fr-FR"/>
        </w:rPr>
        <w:t>La hauteur maximale à ne pas dépasser par rapport au niveau maximal défini de l’acrotère est de 3 mètres et la distance minimale à partir du bord de la toiture est de 2 mètres.</w:t>
      </w:r>
    </w:p>
    <w:p w14:paraId="62143C59" w14:textId="7B205380" w:rsidR="0069747B" w:rsidRPr="0069747B" w:rsidRDefault="00AC0EFF" w:rsidP="00AC0EFF">
      <w:pPr>
        <w:pStyle w:val="Heading4"/>
        <w:rPr>
          <w:lang w:val="fr-FR"/>
        </w:rPr>
      </w:pPr>
      <w:r>
        <w:rPr>
          <w:lang w:val="fr-FR"/>
        </w:rPr>
        <w:t xml:space="preserve">E.5.5.5 </w:t>
      </w:r>
      <w:r w:rsidR="0069747B" w:rsidRPr="0069747B">
        <w:rPr>
          <w:lang w:val="fr-FR"/>
        </w:rPr>
        <w:t>La délimitation des parcelles privées</w:t>
      </w:r>
    </w:p>
    <w:p w14:paraId="3D5C18F2" w14:textId="77777777" w:rsidR="0069747B" w:rsidRPr="0069747B" w:rsidRDefault="0069747B" w:rsidP="0069747B">
      <w:pPr>
        <w:rPr>
          <w:lang w:val="fr-FR"/>
        </w:rPr>
      </w:pPr>
      <w:r w:rsidRPr="0069747B">
        <w:rPr>
          <w:lang w:val="fr-FR"/>
        </w:rPr>
        <w:t>Des clôtures en limite de terrain ne sont pas admises sauf en cas de mesures de sécurité.</w:t>
      </w:r>
    </w:p>
    <w:p w14:paraId="1135C400" w14:textId="05452205" w:rsidR="0069747B" w:rsidRPr="0069747B" w:rsidRDefault="00AC0EFF" w:rsidP="00AC0EFF">
      <w:pPr>
        <w:pStyle w:val="Heading4"/>
        <w:rPr>
          <w:lang w:val="fr-FR"/>
        </w:rPr>
      </w:pPr>
      <w:r>
        <w:rPr>
          <w:lang w:val="fr-FR"/>
        </w:rPr>
        <w:t xml:space="preserve">E.5.5.6 </w:t>
      </w:r>
      <w:r w:rsidR="0069747B" w:rsidRPr="0069747B">
        <w:rPr>
          <w:lang w:val="fr-FR"/>
        </w:rPr>
        <w:t>Les antennes paraboliques</w:t>
      </w:r>
    </w:p>
    <w:p w14:paraId="56ACDD6F" w14:textId="77777777" w:rsidR="0069747B" w:rsidRPr="0069747B" w:rsidRDefault="0069747B" w:rsidP="0069747B">
      <w:pPr>
        <w:rPr>
          <w:lang w:val="fr-FR"/>
        </w:rPr>
      </w:pPr>
      <w:r w:rsidRPr="0069747B">
        <w:rPr>
          <w:lang w:val="fr-FR"/>
        </w:rPr>
        <w:t>L’installation d’antennes de réception et de communication est admise sous condition qu’elles ne soient pas visibles d’un lieu accessible au public.</w:t>
      </w:r>
    </w:p>
    <w:p w14:paraId="40B7D652" w14:textId="1C55196C" w:rsidR="0069747B" w:rsidRPr="0069747B" w:rsidRDefault="00AC0EFF" w:rsidP="00AC0EFF">
      <w:pPr>
        <w:pStyle w:val="Heading4"/>
        <w:rPr>
          <w:lang w:val="fr-FR"/>
        </w:rPr>
      </w:pPr>
      <w:r>
        <w:rPr>
          <w:lang w:val="fr-FR"/>
        </w:rPr>
        <w:t xml:space="preserve">E.5.5.7 </w:t>
      </w:r>
      <w:r w:rsidR="0069747B" w:rsidRPr="0069747B">
        <w:rPr>
          <w:lang w:val="fr-FR"/>
        </w:rPr>
        <w:t>Les emplacements de stationnement hors sol</w:t>
      </w:r>
    </w:p>
    <w:p w14:paraId="67A5F050" w14:textId="77777777" w:rsidR="0069747B" w:rsidRPr="0069747B" w:rsidRDefault="0069747B" w:rsidP="0069747B">
      <w:pPr>
        <w:rPr>
          <w:lang w:val="fr-FR"/>
        </w:rPr>
      </w:pPr>
      <w:r w:rsidRPr="0069747B">
        <w:rPr>
          <w:lang w:val="fr-FR"/>
        </w:rPr>
        <w:t>Le nombre d’emplacements de stationnement obligatoire par immeuble est défini dans la partie écrite du plan d’aménagement général (PAG).</w:t>
      </w:r>
    </w:p>
    <w:p w14:paraId="640115CF" w14:textId="77777777" w:rsidR="0069747B" w:rsidRPr="0069747B" w:rsidRDefault="0069747B" w:rsidP="0069747B">
      <w:pPr>
        <w:rPr>
          <w:lang w:val="fr-FR"/>
        </w:rPr>
      </w:pPr>
      <w:r w:rsidRPr="0069747B">
        <w:rPr>
          <w:lang w:val="fr-FR"/>
        </w:rPr>
        <w:t>Dans la zone mixte urbaine centrale [</w:t>
      </w:r>
      <w:proofErr w:type="spellStart"/>
      <w:r w:rsidRPr="0069747B">
        <w:rPr>
          <w:lang w:val="fr-FR"/>
        </w:rPr>
        <w:t>MIX-c</w:t>
      </w:r>
      <w:proofErr w:type="spellEnd"/>
      <w:r w:rsidRPr="0069747B">
        <w:rPr>
          <w:lang w:val="fr-FR"/>
        </w:rPr>
        <w:t>] et la zone d’habitation 2 [HAB-2], aucun emplacement de stationnement ne peut être réalisé en-dehors du garage souterrain à l’exception du lot M1 où 8 emplacements pour les besoins du commerce ou service sont autorisés à l’extérieur du garage souterrain.</w:t>
      </w:r>
    </w:p>
    <w:p w14:paraId="18AEA3DB" w14:textId="6046A9E7" w:rsidR="0069747B" w:rsidRPr="0069747B" w:rsidRDefault="00AC0EFF" w:rsidP="00AC0EFF">
      <w:pPr>
        <w:pStyle w:val="Heading4"/>
        <w:rPr>
          <w:lang w:val="fr-FR"/>
        </w:rPr>
      </w:pPr>
      <w:r>
        <w:rPr>
          <w:lang w:val="fr-FR"/>
        </w:rPr>
        <w:t xml:space="preserve">E.5.5.8 </w:t>
      </w:r>
      <w:r w:rsidR="0069747B" w:rsidRPr="0069747B">
        <w:rPr>
          <w:lang w:val="fr-FR"/>
        </w:rPr>
        <w:t>Les accès aux garages souterrains</w:t>
      </w:r>
    </w:p>
    <w:p w14:paraId="7ED0D37C" w14:textId="77777777" w:rsidR="0069747B" w:rsidRPr="0069747B" w:rsidRDefault="0069747B" w:rsidP="0069747B">
      <w:pPr>
        <w:rPr>
          <w:lang w:val="fr-FR"/>
        </w:rPr>
      </w:pPr>
      <w:r w:rsidRPr="0069747B">
        <w:rPr>
          <w:lang w:val="fr-FR"/>
        </w:rPr>
        <w:t>Les accès aux parkings doivent se limiter à une sortie et une entrée.</w:t>
      </w:r>
    </w:p>
    <w:p w14:paraId="2C4E2E77" w14:textId="77777777" w:rsidR="0069747B" w:rsidRPr="0069747B" w:rsidRDefault="0069747B" w:rsidP="0069747B">
      <w:pPr>
        <w:rPr>
          <w:lang w:val="fr-FR"/>
        </w:rPr>
      </w:pPr>
      <w:r w:rsidRPr="0069747B">
        <w:rPr>
          <w:lang w:val="fr-FR"/>
        </w:rPr>
        <w:t>L’accès au parking souterrain est à intégrer dans le volume de l’immeuble ou doit impérativement faire partie intégrante du concept de l’aménagement des alentours.</w:t>
      </w:r>
    </w:p>
    <w:p w14:paraId="4A87D2A0" w14:textId="4E594CCB" w:rsidR="0069747B" w:rsidRPr="006605E2" w:rsidRDefault="0069747B" w:rsidP="0069747B">
      <w:pPr>
        <w:rPr>
          <w:lang w:val="fr-FR"/>
        </w:rPr>
      </w:pPr>
      <w:r w:rsidRPr="0069747B">
        <w:rPr>
          <w:lang w:val="fr-FR"/>
        </w:rPr>
        <w:t>Pour les lots M1a, M2a, M3a, M4a, M5a, M6a, M7a, M8a, M9a/c, M10a/c, M11A1/A2/A3/B, MA, MBC, MD et M1, les accès garage / parking sont indiqués dans la partie graphique. Les accès voitures (garage souterrain, livraison, visiteurs) se feront impérativement à partir de la voie de desserte A, indiquée dans la partie graphique du PAP QE.</w:t>
      </w:r>
    </w:p>
    <w:sectPr w:rsidR="0069747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13F"/>
    <w:multiLevelType w:val="hybridMultilevel"/>
    <w:tmpl w:val="C7CC73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E411C"/>
    <w:multiLevelType w:val="hybridMultilevel"/>
    <w:tmpl w:val="9E2C71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9044A"/>
    <w:multiLevelType w:val="hybridMultilevel"/>
    <w:tmpl w:val="4E92CB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7059A4"/>
    <w:multiLevelType w:val="hybridMultilevel"/>
    <w:tmpl w:val="564C09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247BDC"/>
    <w:multiLevelType w:val="hybridMultilevel"/>
    <w:tmpl w:val="9AA8A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926A9"/>
    <w:multiLevelType w:val="hybridMultilevel"/>
    <w:tmpl w:val="D6C620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BD0DE3"/>
    <w:multiLevelType w:val="hybridMultilevel"/>
    <w:tmpl w:val="4D008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024F1C"/>
    <w:multiLevelType w:val="hybridMultilevel"/>
    <w:tmpl w:val="02060B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7D178B"/>
    <w:multiLevelType w:val="hybridMultilevel"/>
    <w:tmpl w:val="0D3030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D62542"/>
    <w:multiLevelType w:val="hybridMultilevel"/>
    <w:tmpl w:val="F9A002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9434D3"/>
    <w:multiLevelType w:val="hybridMultilevel"/>
    <w:tmpl w:val="917264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053E7A"/>
    <w:multiLevelType w:val="hybridMultilevel"/>
    <w:tmpl w:val="03AC2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7"/>
  </w:num>
  <w:num w:numId="4">
    <w:abstractNumId w:val="1"/>
  </w:num>
  <w:num w:numId="5">
    <w:abstractNumId w:val="2"/>
  </w:num>
  <w:num w:numId="6">
    <w:abstractNumId w:val="8"/>
  </w:num>
  <w:num w:numId="7">
    <w:abstractNumId w:val="16"/>
  </w:num>
  <w:num w:numId="8">
    <w:abstractNumId w:val="9"/>
  </w:num>
  <w:num w:numId="9">
    <w:abstractNumId w:val="4"/>
  </w:num>
  <w:num w:numId="10">
    <w:abstractNumId w:val="3"/>
  </w:num>
  <w:num w:numId="11">
    <w:abstractNumId w:val="7"/>
  </w:num>
  <w:num w:numId="12">
    <w:abstractNumId w:val="0"/>
  </w:num>
  <w:num w:numId="13">
    <w:abstractNumId w:val="15"/>
  </w:num>
  <w:num w:numId="14">
    <w:abstractNumId w:val="12"/>
  </w:num>
  <w:num w:numId="15">
    <w:abstractNumId w:val="13"/>
  </w:num>
  <w:num w:numId="16">
    <w:abstractNumId w:val="11"/>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9747B"/>
    <w:rsid w:val="006C6684"/>
    <w:rsid w:val="00732511"/>
    <w:rsid w:val="007B41C9"/>
    <w:rsid w:val="007B5125"/>
    <w:rsid w:val="008A46DB"/>
    <w:rsid w:val="008A4797"/>
    <w:rsid w:val="009D6555"/>
    <w:rsid w:val="00A610F9"/>
    <w:rsid w:val="00AC0EFF"/>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7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69747B"/>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69747B"/>
    <w:pPr>
      <w:spacing w:after="0" w:line="240" w:lineRule="auto"/>
      <w:jc w:val="both"/>
    </w:pPr>
    <w:rPr>
      <w:rFonts w:ascii="Arial Narrow" w:hAnsi="Arial Narrow"/>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69747B"/>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2904</Words>
  <Characters>16557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2021-03-17T08:11:00Z</dcterms:modified>
</cp:coreProperties>
</file>