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80C4B" w14:textId="3CBF59DC" w:rsidR="008B2CD1" w:rsidRPr="008B2CD1" w:rsidRDefault="00F6508B" w:rsidP="008B2CD1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269F8621" w:rsidR="006605E2" w:rsidRDefault="00F6508B" w:rsidP="00F6508B">
      <w:r>
        <w:t>Des préscriptions spécifiques sont définies pour les zones suivantes:</w:t>
      </w:r>
    </w:p>
    <w:p w14:paraId="2C46609C" w14:textId="61792619" w:rsidR="00976153" w:rsidRDefault="00976153" w:rsidP="00976153">
      <w:pPr>
        <w:pStyle w:val="Heading3"/>
      </w:pPr>
      <w:r>
        <w:t>Art. IV.2.10 Zone de servitude « urbanisation » – ‘Randschelt ‘ (RS)</w:t>
      </w:r>
    </w:p>
    <w:p w14:paraId="22F4FB31" w14:textId="07ACCB4B" w:rsidR="00976153" w:rsidRDefault="00976153" w:rsidP="00976153">
      <w:r>
        <w:t>La zone de servitude « urbanisation » - ‘Randschelt’ vise à garantir un développement harmonieux de la localité dans le respect du patrimoine culturel et naturel existant.</w:t>
      </w:r>
    </w:p>
    <w:p w14:paraId="2B555B52" w14:textId="0CDD0B34" w:rsidR="00976153" w:rsidRDefault="00976153" w:rsidP="00976153">
      <w:r>
        <w:t>La zone est soumise aux prescriptions suivantes:</w:t>
      </w:r>
    </w:p>
    <w:p w14:paraId="44E30032" w14:textId="77777777" w:rsidR="00976153" w:rsidRDefault="00976153" w:rsidP="00976153">
      <w:pPr>
        <w:pStyle w:val="ListParagraph"/>
        <w:numPr>
          <w:ilvl w:val="0"/>
          <w:numId w:val="7"/>
        </w:numPr>
      </w:pPr>
      <w:r>
        <w:t>Les nouvelles constructions principales y sont interdites.</w:t>
      </w:r>
    </w:p>
    <w:p w14:paraId="41D97900" w14:textId="77777777" w:rsidR="00976153" w:rsidRDefault="00976153" w:rsidP="00976153">
      <w:pPr>
        <w:pStyle w:val="ListParagraph"/>
        <w:numPr>
          <w:ilvl w:val="0"/>
          <w:numId w:val="7"/>
        </w:numPr>
      </w:pPr>
      <w:r>
        <w:t>La transformation et le changement d’affectation de constructions existantes doit se faire dans l’intérêt de la protection et de la mise en valeur du patrimoine culturel et naturel.</w:t>
      </w:r>
    </w:p>
    <w:p w14:paraId="75AA16E2" w14:textId="77777777" w:rsidR="00976153" w:rsidRDefault="00976153" w:rsidP="00976153">
      <w:pPr>
        <w:pStyle w:val="ListParagraph"/>
        <w:numPr>
          <w:ilvl w:val="0"/>
          <w:numId w:val="7"/>
        </w:numPr>
      </w:pPr>
      <w:r>
        <w:t>L’agrandissement de construction existantes est autorisé, pour autant que la surface construite brute d’un tel agrandissement est limitée à au maximum 10% de la surface construite brute de la construction existante à laquelle il se rapporte.</w:t>
      </w:r>
    </w:p>
    <w:p w14:paraId="50E966F2" w14:textId="58DEC7F6" w:rsidR="00976153" w:rsidRPr="007D461A" w:rsidRDefault="00976153" w:rsidP="00976153">
      <w:pPr>
        <w:pStyle w:val="ListParagraph"/>
        <w:numPr>
          <w:ilvl w:val="0"/>
          <w:numId w:val="7"/>
        </w:numPr>
      </w:pPr>
      <w:r>
        <w:t>Les constructions légères de petite envergure et / ou amovibles sont autorisées.</w:t>
      </w:r>
    </w:p>
    <w:sectPr w:rsidR="0097615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47257"/>
    <w:multiLevelType w:val="hybridMultilevel"/>
    <w:tmpl w:val="68A4F7B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B2CD1"/>
    <w:rsid w:val="00976153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508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2024-03-08T06:09:00Z</dcterms:modified>
</cp:coreProperties>
</file>