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E15952" w14:textId="641C8A29" w:rsidR="00523716" w:rsidRPr="00523716" w:rsidRDefault="004D508D" w:rsidP="00523716">
      <w:pPr>
        <w:pStyle w:val="Heading4"/>
      </w:pPr>
      <w:r>
        <w:t>Art. IV.4.1.2 Constructions à conserver</w:t>
      </w:r>
      <w:bookmarkStart w:id="0" w:name="_GoBack"/>
      <w:bookmarkEnd w:id="0"/>
    </w:p>
    <w:p w14:paraId="73C3948C" w14:textId="42B085A1" w:rsidR="004D508D" w:rsidRDefault="004D508D" w:rsidP="004D508D">
      <w:r>
        <w:t>Les constructions à conserver, tels qu’indiquées dans la partie graphique du PAG, ne peuvent subir aucune démolition, transformation, modification ou agrandissement qui pourrait nuire à leur valeur historique, artistique ou esthétique ou altérer leur gabarit ou leur aspect architectural; sauf si des faits inhérents à la sécurité et à la salubrité dûment justifiés et établis par un homme de l’art spécialisé en la matière, justifient un tel projet.</w:t>
      </w:r>
    </w:p>
    <w:p w14:paraId="3126B52C" w14:textId="77777777" w:rsidR="004D508D" w:rsidRDefault="004D508D" w:rsidP="004D508D">
      <w:r>
        <w:t>Toute intervention sur une construction à conserver doit veiller à la conservation et à la mise en valeur des composantes architecturales existantes situées à l’extérieur du bâtiment.</w:t>
      </w:r>
    </w:p>
    <w:p w14:paraId="35012BA2" w14:textId="6639E921" w:rsidR="004D508D" w:rsidRDefault="004D508D" w:rsidP="004D508D">
      <w:r>
        <w:t>A l’extérieur du bâtiment, ces composantes sont:</w:t>
      </w:r>
    </w:p>
    <w:p w14:paraId="30EBB5E8" w14:textId="77777777" w:rsidR="004D508D" w:rsidRDefault="004D508D" w:rsidP="004D508D">
      <w:pPr>
        <w:pStyle w:val="ListParagraph"/>
        <w:numPr>
          <w:ilvl w:val="0"/>
          <w:numId w:val="7"/>
        </w:numPr>
      </w:pPr>
      <w:r>
        <w:t>le rythme entre surfaces pleines et vides,</w:t>
      </w:r>
    </w:p>
    <w:p w14:paraId="280EF171" w14:textId="77777777" w:rsidR="004D508D" w:rsidRDefault="004D508D" w:rsidP="004D508D">
      <w:pPr>
        <w:pStyle w:val="ListParagraph"/>
        <w:numPr>
          <w:ilvl w:val="0"/>
          <w:numId w:val="7"/>
        </w:numPr>
      </w:pPr>
      <w:r>
        <w:t>les formes et éléments de toiture,</w:t>
      </w:r>
    </w:p>
    <w:p w14:paraId="1BE6093E" w14:textId="77777777" w:rsidR="004D508D" w:rsidRDefault="004D508D" w:rsidP="004D508D">
      <w:pPr>
        <w:pStyle w:val="ListParagraph"/>
        <w:numPr>
          <w:ilvl w:val="0"/>
          <w:numId w:val="7"/>
        </w:numPr>
      </w:pPr>
      <w:r>
        <w:t>les dimensions, formes et position des baies,</w:t>
      </w:r>
    </w:p>
    <w:p w14:paraId="098BB46D" w14:textId="77777777" w:rsidR="004D508D" w:rsidRDefault="004D508D" w:rsidP="004D508D">
      <w:pPr>
        <w:pStyle w:val="ListParagraph"/>
        <w:numPr>
          <w:ilvl w:val="0"/>
          <w:numId w:val="7"/>
        </w:numPr>
      </w:pPr>
      <w:r>
        <w:t>les modénatures,</w:t>
      </w:r>
    </w:p>
    <w:p w14:paraId="276A1144" w14:textId="77777777" w:rsidR="004D508D" w:rsidRDefault="004D508D" w:rsidP="004D508D">
      <w:pPr>
        <w:pStyle w:val="ListParagraph"/>
        <w:numPr>
          <w:ilvl w:val="0"/>
          <w:numId w:val="7"/>
        </w:numPr>
      </w:pPr>
      <w:r>
        <w:t>les éléments de décoration qui caractérisent ledit bâtiment,</w:t>
      </w:r>
    </w:p>
    <w:p w14:paraId="6E1F2A5C" w14:textId="77777777" w:rsidR="004D508D" w:rsidRDefault="004D508D" w:rsidP="004D508D">
      <w:pPr>
        <w:pStyle w:val="ListParagraph"/>
        <w:numPr>
          <w:ilvl w:val="0"/>
          <w:numId w:val="7"/>
        </w:numPr>
      </w:pPr>
      <w:r>
        <w:t>les matériaux utilisés traditionnellement,</w:t>
      </w:r>
    </w:p>
    <w:p w14:paraId="1D52D20D" w14:textId="6D0EDC1D" w:rsidR="004D508D" w:rsidRDefault="004D508D" w:rsidP="004D508D">
      <w:pPr>
        <w:pStyle w:val="ListParagraph"/>
        <w:numPr>
          <w:ilvl w:val="0"/>
          <w:numId w:val="7"/>
        </w:numPr>
      </w:pPr>
      <w:r>
        <w:t>les revêtements et teintes traditionnels.</w:t>
      </w:r>
    </w:p>
    <w:p w14:paraId="0D510DF3" w14:textId="77777777" w:rsidR="004D508D" w:rsidRDefault="004D508D" w:rsidP="004D508D">
      <w:r>
        <w:t>Des installations photovoltaïques ou semblables sont interdites sur les façades principales, respectivement donnant sur l’espace public des constructions à conserver.</w:t>
      </w:r>
    </w:p>
    <w:p w14:paraId="7990D2DB" w14:textId="3B5554B3" w:rsidR="004D508D" w:rsidRDefault="004D508D" w:rsidP="004D508D">
      <w:r>
        <w:t>Pour les façades et toitures à l’arrière des constructions, non directement visibles du domaine public, peut être accordée:</w:t>
      </w:r>
    </w:p>
    <w:p w14:paraId="1E068E2D" w14:textId="77777777" w:rsidR="004D508D" w:rsidRDefault="004D508D" w:rsidP="004D508D">
      <w:pPr>
        <w:pStyle w:val="ListParagraph"/>
        <w:numPr>
          <w:ilvl w:val="0"/>
          <w:numId w:val="8"/>
        </w:numPr>
      </w:pPr>
      <w:r>
        <w:t>un changement de la taille et de la forme des ouvertures,</w:t>
      </w:r>
    </w:p>
    <w:p w14:paraId="4FCB253E" w14:textId="7419D4D3" w:rsidR="004D508D" w:rsidRDefault="004D508D" w:rsidP="004D508D">
      <w:pPr>
        <w:pStyle w:val="ListParagraph"/>
        <w:numPr>
          <w:ilvl w:val="0"/>
          <w:numId w:val="8"/>
        </w:numPr>
      </w:pPr>
      <w:r>
        <w:t>des extensions ou annexes au bâtiment.</w:t>
      </w:r>
    </w:p>
    <w:p w14:paraId="3F60AA91" w14:textId="33C3CFDF" w:rsidR="004D508D" w:rsidRDefault="004D508D" w:rsidP="004D508D">
      <w:r>
        <w:t>Pour les raisons suivantes, la commune peut autoriser des adaptations des parties intérieures, des façades et des toitures des constructions à conserver qui donnent sur le domaine public:</w:t>
      </w:r>
    </w:p>
    <w:p w14:paraId="0AA1880A" w14:textId="77777777" w:rsidR="004D508D" w:rsidRDefault="004D508D" w:rsidP="004D508D">
      <w:pPr>
        <w:pStyle w:val="ListParagraph"/>
        <w:numPr>
          <w:ilvl w:val="0"/>
          <w:numId w:val="9"/>
        </w:numPr>
      </w:pPr>
      <w:r>
        <w:t>Un changement d’affectation pour une utilisation rationnelle de la construction à conserver (p.ex. modification d’une grange en habitation).</w:t>
      </w:r>
    </w:p>
    <w:p w14:paraId="10298AF4" w14:textId="5073EEEB" w:rsidR="004D508D" w:rsidRDefault="004D508D" w:rsidP="004D508D">
      <w:pPr>
        <w:pStyle w:val="ListParagraph"/>
        <w:numPr>
          <w:ilvl w:val="0"/>
          <w:numId w:val="9"/>
        </w:numPr>
      </w:pPr>
      <w:r>
        <w:t>L’aménagement d’un ou plusieurs logements dans un bâtiment ou partie de bâtiment identifié comme construction à conserver (p.ex. création et/ou agrandissement d’une pièce destinée au séjour prolongé de personnes).</w:t>
      </w:r>
    </w:p>
    <w:p w14:paraId="7150EE89" w14:textId="45088B64" w:rsidR="004D508D" w:rsidRPr="007D461A" w:rsidRDefault="004D508D" w:rsidP="004D508D">
      <w:r>
        <w:t>Tout projet de travaux ainsi que toute autre intervention architecturale et/ou urbanistique dans les secteurs protégés d’intérêt communal de type « environnement construit » sont soumis au bourgmestre, qui peut, avant toute décision, soumettre le projet pour un avis consultatif à l'Institut national pour le patrimoine architectural (INPA).</w:t>
      </w:r>
    </w:p>
    <w:sectPr w:rsidR="004D508D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C6755"/>
    <w:multiLevelType w:val="hybridMultilevel"/>
    <w:tmpl w:val="E7A2F956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2320D4"/>
    <w:multiLevelType w:val="hybridMultilevel"/>
    <w:tmpl w:val="3D16F3AE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3C1956"/>
    <w:multiLevelType w:val="hybridMultilevel"/>
    <w:tmpl w:val="49A48E0A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1"/>
  </w:num>
  <w:num w:numId="5">
    <w:abstractNumId w:val="2"/>
  </w:num>
  <w:num w:numId="6">
    <w:abstractNumId w:val="3"/>
  </w:num>
  <w:num w:numId="7">
    <w:abstractNumId w:val="0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4D508D"/>
    <w:rsid w:val="00523716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2024-03-08T06:04:00Z</dcterms:modified>
</cp:coreProperties>
</file>