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92003" w14:textId="5D176E0B" w:rsidR="008E18EB" w:rsidRPr="008E18EB" w:rsidRDefault="00F6508B" w:rsidP="008E18EB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574D6394" w:rsidR="006605E2" w:rsidRDefault="00F6508B" w:rsidP="00F6508B">
      <w:r>
        <w:t>Des préscriptions spécifiques sont définies pour les zones suivantes:</w:t>
      </w:r>
    </w:p>
    <w:p w14:paraId="2253C6F9" w14:textId="3ECB2179" w:rsidR="0073431C" w:rsidRDefault="0073431C" w:rsidP="0073431C">
      <w:pPr>
        <w:pStyle w:val="Heading3"/>
      </w:pPr>
      <w:r>
        <w:t>Art. IV.2.14 Zone de servitude « urbanisation » – ‘architecturale Grevels 2’ (A-GREV-2)</w:t>
      </w:r>
    </w:p>
    <w:p w14:paraId="2B462088" w14:textId="77777777" w:rsidR="0073431C" w:rsidRDefault="0073431C" w:rsidP="0073431C">
      <w:r>
        <w:t>Afin de minimiser l’impact de l’urbanisation de la zone de bâtiments et d’équipements publics – ‘Auf der Strasse’ sur le paysage, les prescriptions suivantes sont applicables dans la zone de servitude « urbanisation » – ‘architecturale Grevels 2’:</w:t>
      </w:r>
    </w:p>
    <w:p w14:paraId="4EF217EE" w14:textId="7752CDDF" w:rsidR="0073431C" w:rsidRDefault="0073431C" w:rsidP="0073431C">
      <w:pPr>
        <w:pStyle w:val="ListParagraph"/>
        <w:numPr>
          <w:ilvl w:val="0"/>
          <w:numId w:val="7"/>
        </w:numPr>
      </w:pPr>
      <w:r>
        <w:t>La hauteur maximale des constructions d’usage public doit être inférieure ou égale à 10,00 m.</w:t>
      </w:r>
    </w:p>
    <w:p w14:paraId="02A77867" w14:textId="77777777" w:rsidR="0073431C" w:rsidRDefault="0073431C" w:rsidP="0073431C">
      <w:pPr>
        <w:ind w:left="1080"/>
      </w:pPr>
      <w:r>
        <w:t>La hauteur est mesurée entre le niveau du terrain naturel avant viabilisation et l’acrotère respectivement le faîte de la construction.</w:t>
      </w:r>
    </w:p>
    <w:p w14:paraId="007D0EA2" w14:textId="77777777" w:rsidR="0073431C" w:rsidRDefault="0073431C" w:rsidP="0073431C">
      <w:pPr>
        <w:pStyle w:val="ListParagraph"/>
        <w:numPr>
          <w:ilvl w:val="0"/>
          <w:numId w:val="7"/>
        </w:numPr>
      </w:pPr>
      <w:r>
        <w:t>Les corps des bâtiments situés au-dessus du niveau du terrain naturel avant viabilisation du site ne doivent pas dépasser un volume de 16.000 m</w:t>
      </w:r>
      <w:r w:rsidRPr="0073431C">
        <w:rPr>
          <w:vertAlign w:val="superscript"/>
        </w:rPr>
        <w:t>3</w:t>
      </w:r>
      <w:r>
        <w:t>.</w:t>
      </w:r>
    </w:p>
    <w:p w14:paraId="3EB0C8A4" w14:textId="51107C4A" w:rsidR="0073431C" w:rsidRPr="007D461A" w:rsidRDefault="0073431C" w:rsidP="0073431C">
      <w:pPr>
        <w:pStyle w:val="ListParagraph"/>
        <w:numPr>
          <w:ilvl w:val="0"/>
          <w:numId w:val="7"/>
        </w:numPr>
      </w:pPr>
      <w:r>
        <w:t>La surface d’emprise au sol (selon la définition de l’annexe II du règlement grand-ducal du 8 mars 2017 concernant le contenu du PAG d’une commune), ne peut pas dépasser une surface de 2.000 m².</w:t>
      </w:r>
    </w:p>
    <w:sectPr w:rsidR="0073431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A7F63"/>
    <w:multiLevelType w:val="hybridMultilevel"/>
    <w:tmpl w:val="DB82C01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3431C"/>
    <w:rsid w:val="007B41C9"/>
    <w:rsid w:val="007B5125"/>
    <w:rsid w:val="007D461A"/>
    <w:rsid w:val="008A46DB"/>
    <w:rsid w:val="008E18E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2024-03-08T06:07:00Z</dcterms:modified>
</cp:coreProperties>
</file>