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43C52" w14:textId="6EBA64B7" w:rsidR="007A6EEB" w:rsidRPr="007A6EEB" w:rsidRDefault="00F6508B" w:rsidP="007A6EEB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5825EB89" w:rsidR="006605E2" w:rsidRDefault="00F6508B" w:rsidP="00F6508B">
      <w:r>
        <w:t>Des préscriptions spécifiques sont définies pour les zones suivantes:</w:t>
      </w:r>
    </w:p>
    <w:p w14:paraId="3910CB5A" w14:textId="648C04A8" w:rsidR="007D0BF0" w:rsidRDefault="007D0BF0" w:rsidP="007D0BF0">
      <w:pPr>
        <w:pStyle w:val="Heading3"/>
      </w:pPr>
      <w:r>
        <w:t>Art. IV.2.9 Zone de servitude « urbanisation » – ‘préservation d’accès’ (AC)</w:t>
      </w:r>
    </w:p>
    <w:p w14:paraId="41C9BBD0" w14:textId="28788EF6" w:rsidR="007D0BF0" w:rsidRPr="007D461A" w:rsidRDefault="007D0BF0" w:rsidP="007D0BF0">
      <w:r>
        <w:t>Les zones de servitude « urbanisation » – ‘préservation d’accès’ sont réservées à l’aménagement d’accès, aux équipements de l’espace public ainsi qu’aux infrastructures techniques propres à cet espace. Toutes autres constructions sont interdites. Un PAP et/ou un concept d’aménagement doivent préciser la délimitation exacte et l’aménagement de l’accès.</w:t>
      </w:r>
    </w:p>
    <w:sectPr w:rsidR="007D0BF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A6EEB"/>
    <w:rsid w:val="007B41C9"/>
    <w:rsid w:val="007B5125"/>
    <w:rsid w:val="007D0BF0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2024-03-08T06:08:00Z</dcterms:modified>
</cp:coreProperties>
</file>