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4E82D0" w14:textId="0A4F851C" w:rsidR="008935D5" w:rsidRPr="008935D5" w:rsidRDefault="008935D5" w:rsidP="008935D5">
      <w:pPr>
        <w:pStyle w:val="Title"/>
      </w:pPr>
      <w:r>
        <w:t>ANNEXE 1</w:t>
      </w:r>
      <w:r w:rsidRPr="008935D5">
        <w:t>: TERMINOLOGIE RELATIVE AU DEGRÉ D’UTILISATION DU SOL</w:t>
      </w:r>
    </w:p>
    <w:p w14:paraId="76FD5A5F" w14:textId="77777777" w:rsidR="008935D5" w:rsidRPr="008935D5" w:rsidRDefault="008935D5" w:rsidP="008935D5">
      <w:pPr>
        <w:rPr>
          <w:b/>
          <w:u w:val="single"/>
          <w:lang w:val="fr-FR"/>
        </w:rPr>
      </w:pPr>
      <w:r w:rsidRPr="008935D5">
        <w:rPr>
          <w:b/>
          <w:u w:val="single"/>
          <w:lang w:val="fr-FR"/>
        </w:rPr>
        <w:t>1. Coefficient d’utilisation du sol – CUS</w:t>
      </w:r>
    </w:p>
    <w:p w14:paraId="7080F59B" w14:textId="4B2F2962" w:rsidR="008935D5" w:rsidRDefault="008935D5" w:rsidP="008935D5">
      <w:pPr>
        <w:ind w:left="720"/>
        <w:rPr>
          <w:lang w:val="fr-FR"/>
        </w:rPr>
      </w:pPr>
      <w:r w:rsidRPr="008935D5">
        <w:rPr>
          <w:lang w:val="fr-FR"/>
        </w:rPr>
        <w:t>On entend par coefficient d’utilisation du sol le rapport entre la somme des surfaces construites brutes de tous les niveaux et la surface totale du terrain à bâtir brut, pour autant que la hauteur d’étage moyenne ne dépasse pas 5 mètres.</w:t>
      </w:r>
    </w:p>
    <w:p w14:paraId="6B5370D6" w14:textId="46ED734F" w:rsidR="008935D5" w:rsidRPr="008935D5" w:rsidRDefault="008935D5" w:rsidP="008935D5">
      <w:pPr>
        <w:ind w:left="720"/>
        <w:jc w:val="center"/>
        <w:rPr>
          <w:lang w:val="fr-FR"/>
        </w:rPr>
      </w:pPr>
      <w:r>
        <w:rPr>
          <w:noProof/>
          <w:lang w:val="fr-LU" w:eastAsia="fr-LU"/>
        </w:rPr>
        <w:drawing>
          <wp:inline distT="0" distB="0" distL="0" distR="0" wp14:anchorId="1E6D7644" wp14:editId="28460041">
            <wp:extent cx="4886325" cy="600368"/>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974569" cy="611210"/>
                    </a:xfrm>
                    <a:prstGeom prst="rect">
                      <a:avLst/>
                    </a:prstGeom>
                  </pic:spPr>
                </pic:pic>
              </a:graphicData>
            </a:graphic>
          </wp:inline>
        </w:drawing>
      </w:r>
    </w:p>
    <w:p w14:paraId="2A270372" w14:textId="77777777" w:rsidR="008935D5" w:rsidRPr="008935D5" w:rsidRDefault="008935D5" w:rsidP="00DB6AF3">
      <w:pPr>
        <w:ind w:left="720"/>
        <w:rPr>
          <w:lang w:val="fr-FR"/>
        </w:rPr>
      </w:pPr>
      <w:r w:rsidRPr="008935D5">
        <w:rPr>
          <w:lang w:val="fr-FR"/>
        </w:rPr>
        <w:t>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14:paraId="35BBF997" w14:textId="77777777" w:rsidR="008935D5" w:rsidRPr="00DB6AF3" w:rsidRDefault="008935D5" w:rsidP="008935D5">
      <w:pPr>
        <w:rPr>
          <w:b/>
          <w:u w:val="single"/>
          <w:lang w:val="fr-FR"/>
        </w:rPr>
      </w:pPr>
      <w:r w:rsidRPr="00DB6AF3">
        <w:rPr>
          <w:b/>
          <w:u w:val="single"/>
          <w:lang w:val="fr-FR"/>
        </w:rPr>
        <w:t>2. Coefficient d’occupation du sol – COS</w:t>
      </w:r>
    </w:p>
    <w:p w14:paraId="0762F325" w14:textId="77777777" w:rsidR="008935D5" w:rsidRPr="008935D5" w:rsidRDefault="008935D5" w:rsidP="00DB6AF3">
      <w:pPr>
        <w:ind w:left="720"/>
        <w:rPr>
          <w:lang w:val="fr-FR"/>
        </w:rPr>
      </w:pPr>
      <w:r w:rsidRPr="008935D5">
        <w:rPr>
          <w:lang w:val="fr-FR"/>
        </w:rPr>
        <w:t>On entend par coefficient d’occupation du sol le rapport entre la surface d’emprise au sol de la ou des constructions (au niveau du terrain naturel) et la surface du terrain à bâtir net.</w:t>
      </w:r>
    </w:p>
    <w:p w14:paraId="7A168B62" w14:textId="04592AF6" w:rsidR="008935D5" w:rsidRPr="008935D5" w:rsidRDefault="00DB6AF3" w:rsidP="00DB6AF3">
      <w:pPr>
        <w:ind w:left="720"/>
        <w:jc w:val="center"/>
        <w:rPr>
          <w:lang w:val="fr-FR"/>
        </w:rPr>
      </w:pPr>
      <w:r>
        <w:rPr>
          <w:noProof/>
          <w:lang w:val="fr-LU" w:eastAsia="fr-LU"/>
        </w:rPr>
        <w:drawing>
          <wp:inline distT="0" distB="0" distL="0" distR="0" wp14:anchorId="6BD1D709" wp14:editId="3741A1DA">
            <wp:extent cx="4995486" cy="57559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329170" cy="614041"/>
                    </a:xfrm>
                    <a:prstGeom prst="rect">
                      <a:avLst/>
                    </a:prstGeom>
                  </pic:spPr>
                </pic:pic>
              </a:graphicData>
            </a:graphic>
          </wp:inline>
        </w:drawing>
      </w:r>
    </w:p>
    <w:p w14:paraId="4DEE309A" w14:textId="77777777" w:rsidR="008935D5" w:rsidRPr="00DB6AF3" w:rsidRDefault="008935D5" w:rsidP="008935D5">
      <w:pPr>
        <w:rPr>
          <w:b/>
          <w:u w:val="single"/>
          <w:lang w:val="fr-FR"/>
        </w:rPr>
      </w:pPr>
      <w:r w:rsidRPr="00DB6AF3">
        <w:rPr>
          <w:b/>
          <w:u w:val="single"/>
          <w:lang w:val="fr-FR"/>
        </w:rPr>
        <w:t>3. Coefficient de scellement du sol – CSS</w:t>
      </w:r>
    </w:p>
    <w:p w14:paraId="45CB637B" w14:textId="77777777" w:rsidR="008935D5" w:rsidRPr="008935D5" w:rsidRDefault="008935D5" w:rsidP="00DB6AF3">
      <w:pPr>
        <w:ind w:left="720"/>
        <w:rPr>
          <w:lang w:val="fr-FR"/>
        </w:rPr>
      </w:pPr>
      <w:r w:rsidRPr="008935D5">
        <w:rPr>
          <w:lang w:val="fr-FR"/>
        </w:rPr>
        <w:t>On entend par coefficient de scellement du sol le rapport entre la surface de sol scellée et la surface du terrain à bâtir net.</w:t>
      </w:r>
    </w:p>
    <w:p w14:paraId="26B42FDD" w14:textId="47AD969C" w:rsidR="008935D5" w:rsidRPr="008935D5" w:rsidRDefault="00DB6AF3" w:rsidP="00DB6AF3">
      <w:pPr>
        <w:ind w:left="720"/>
        <w:jc w:val="center"/>
        <w:rPr>
          <w:lang w:val="fr-FR"/>
        </w:rPr>
      </w:pPr>
      <w:r>
        <w:rPr>
          <w:noProof/>
          <w:lang w:val="fr-LU" w:eastAsia="fr-LU"/>
        </w:rPr>
        <w:drawing>
          <wp:inline distT="0" distB="0" distL="0" distR="0" wp14:anchorId="6977C09A" wp14:editId="54F41488">
            <wp:extent cx="5112385" cy="607754"/>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195503" cy="617635"/>
                    </a:xfrm>
                    <a:prstGeom prst="rect">
                      <a:avLst/>
                    </a:prstGeom>
                  </pic:spPr>
                </pic:pic>
              </a:graphicData>
            </a:graphic>
          </wp:inline>
        </w:drawing>
      </w:r>
    </w:p>
    <w:p w14:paraId="699D0461" w14:textId="364FB133" w:rsidR="008935D5" w:rsidRPr="00DB6AF3" w:rsidRDefault="00DB6AF3" w:rsidP="008935D5">
      <w:pPr>
        <w:rPr>
          <w:b/>
          <w:u w:val="single"/>
          <w:lang w:val="fr-FR"/>
        </w:rPr>
      </w:pPr>
      <w:r w:rsidRPr="00DB6AF3">
        <w:rPr>
          <w:b/>
          <w:u w:val="single"/>
          <w:lang w:val="fr-FR"/>
        </w:rPr>
        <w:t>4. Densité de logement – DL</w:t>
      </w:r>
    </w:p>
    <w:p w14:paraId="47BDE7F0" w14:textId="2A4DBE2E" w:rsidR="008935D5" w:rsidRDefault="008935D5" w:rsidP="00DB6AF3">
      <w:pPr>
        <w:ind w:left="720"/>
        <w:rPr>
          <w:lang w:val="fr-FR"/>
        </w:rPr>
      </w:pPr>
      <w:r w:rsidRPr="008935D5">
        <w:rPr>
          <w:lang w:val="fr-FR"/>
        </w:rPr>
        <w:t>On entend par densité de logement le rapport entre le nombre d’unités de logement et le terrain à bâtir brut exprimé en hectares.</w:t>
      </w:r>
    </w:p>
    <w:p w14:paraId="0385BD96" w14:textId="7EAE5746" w:rsidR="00DB6AF3" w:rsidRPr="008935D5" w:rsidRDefault="00DB6AF3" w:rsidP="00DB6AF3">
      <w:pPr>
        <w:ind w:left="720"/>
        <w:jc w:val="center"/>
        <w:rPr>
          <w:lang w:val="fr-FR"/>
        </w:rPr>
      </w:pPr>
      <w:r>
        <w:rPr>
          <w:noProof/>
          <w:lang w:val="fr-LU" w:eastAsia="fr-LU"/>
        </w:rPr>
        <w:drawing>
          <wp:inline distT="0" distB="0" distL="0" distR="0" wp14:anchorId="015712A4" wp14:editId="660AA57A">
            <wp:extent cx="4969510" cy="472395"/>
            <wp:effectExtent l="0" t="0" r="254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118941" cy="486600"/>
                    </a:xfrm>
                    <a:prstGeom prst="rect">
                      <a:avLst/>
                    </a:prstGeom>
                  </pic:spPr>
                </pic:pic>
              </a:graphicData>
            </a:graphic>
          </wp:inline>
        </w:drawing>
      </w:r>
    </w:p>
    <w:p w14:paraId="197B40FB" w14:textId="77777777" w:rsidR="008935D5" w:rsidRPr="008935D5" w:rsidRDefault="008935D5" w:rsidP="00DB6AF3">
      <w:pPr>
        <w:ind w:left="720"/>
        <w:rPr>
          <w:lang w:val="fr-FR"/>
        </w:rPr>
      </w:pPr>
      <w:r w:rsidRPr="008935D5">
        <w:rPr>
          <w:lang w:val="fr-FR"/>
        </w:rPr>
        <w:t>Les logements intégrés, au sens de l'annexe II du règlement grand-ducal du 8 mars 2017 concernant le contenu du plan d'aménagement particulier "quartier existant" et du plan d'aménagement particulier "nouveau quartier" portant exécution du plan d'aménagement général d'une commune ne sont pas pris en compte.</w:t>
      </w:r>
    </w:p>
    <w:p w14:paraId="28788C9D" w14:textId="77777777" w:rsidR="008935D5" w:rsidRPr="00DB6AF3" w:rsidRDefault="008935D5" w:rsidP="008935D5">
      <w:pPr>
        <w:rPr>
          <w:b/>
          <w:u w:val="single"/>
          <w:lang w:val="fr-FR"/>
        </w:rPr>
      </w:pPr>
      <w:r w:rsidRPr="00DB6AF3">
        <w:rPr>
          <w:b/>
          <w:u w:val="single"/>
          <w:lang w:val="fr-FR"/>
        </w:rPr>
        <w:t>5. Terrain à bâtir brut</w:t>
      </w:r>
    </w:p>
    <w:p w14:paraId="33B73C0D" w14:textId="77777777" w:rsidR="008935D5" w:rsidRPr="008935D5" w:rsidRDefault="008935D5" w:rsidP="00DB6AF3">
      <w:pPr>
        <w:ind w:left="720"/>
        <w:rPr>
          <w:lang w:val="fr-FR"/>
        </w:rPr>
      </w:pPr>
      <w:r w:rsidRPr="008935D5">
        <w:rPr>
          <w:lang w:val="fr-FR"/>
        </w:rPr>
        <w:lastRenderedPageBreak/>
        <w:t xml:space="preserve">On entend par terrain à bâtir brut tous les fonds situés en zone urbanisée ou destinée à être </w:t>
      </w:r>
      <w:proofErr w:type="gramStart"/>
      <w:r w:rsidRPr="008935D5">
        <w:rPr>
          <w:lang w:val="fr-FR"/>
        </w:rPr>
        <w:t>urbanisée</w:t>
      </w:r>
      <w:proofErr w:type="gramEnd"/>
      <w:r w:rsidRPr="008935D5">
        <w:rPr>
          <w:lang w:val="fr-FR"/>
        </w:rPr>
        <w:t>, non encore ou partiellement viabilisés.</w:t>
      </w:r>
    </w:p>
    <w:p w14:paraId="17879079" w14:textId="77777777" w:rsidR="008935D5" w:rsidRPr="00DB6AF3" w:rsidRDefault="008935D5" w:rsidP="008935D5">
      <w:pPr>
        <w:rPr>
          <w:b/>
          <w:u w:val="single"/>
          <w:lang w:val="fr-FR"/>
        </w:rPr>
      </w:pPr>
      <w:r w:rsidRPr="00DB6AF3">
        <w:rPr>
          <w:b/>
          <w:u w:val="single"/>
          <w:lang w:val="fr-FR"/>
        </w:rPr>
        <w:t>6. Terrain à bâtir net</w:t>
      </w:r>
    </w:p>
    <w:p w14:paraId="46BE2BF4" w14:textId="77777777" w:rsidR="008935D5" w:rsidRPr="008935D5" w:rsidRDefault="008935D5" w:rsidP="00DB6AF3">
      <w:pPr>
        <w:ind w:left="720"/>
        <w:rPr>
          <w:lang w:val="fr-FR"/>
        </w:rPr>
      </w:pPr>
      <w:r w:rsidRPr="008935D5">
        <w:rPr>
          <w:lang w:val="fr-FR"/>
        </w:rPr>
        <w:t>On entend par terrain à bâtir net tous les fonds situés en zone urbanisée ou destinée à être urbanisée déduction faite de toutes les surfaces privées et publiques nécessaires à sa viabilisation.</w:t>
      </w:r>
    </w:p>
    <w:p w14:paraId="08A8F9C0" w14:textId="77777777" w:rsidR="008935D5" w:rsidRPr="00DB6AF3" w:rsidRDefault="008935D5" w:rsidP="008935D5">
      <w:pPr>
        <w:rPr>
          <w:b/>
          <w:u w:val="single"/>
          <w:lang w:val="fr-FR"/>
        </w:rPr>
      </w:pPr>
      <w:r w:rsidRPr="00DB6AF3">
        <w:rPr>
          <w:b/>
          <w:u w:val="single"/>
          <w:lang w:val="fr-FR"/>
        </w:rPr>
        <w:t>7. Surface construite brute</w:t>
      </w:r>
    </w:p>
    <w:p w14:paraId="5581E083" w14:textId="77777777" w:rsidR="008935D5" w:rsidRPr="008935D5" w:rsidRDefault="008935D5" w:rsidP="00DB6AF3">
      <w:pPr>
        <w:ind w:left="720"/>
        <w:rPr>
          <w:lang w:val="fr-FR"/>
        </w:rPr>
      </w:pPr>
      <w:r w:rsidRPr="008935D5">
        <w:rPr>
          <w:lang w:val="fr-FR"/>
        </w:rPr>
        <w:t>On entend par surface construite brute la surface hors d’œuvre obtenue d’un bâtiment et des dépendances en additionnant la surface de tous les niveaux. Seules les surfaces non aménageables en sous-sol ou partiellement en sous-sol et sous combles ne sont pas prises en compte.</w:t>
      </w:r>
    </w:p>
    <w:p w14:paraId="728EF068" w14:textId="77777777" w:rsidR="008935D5" w:rsidRPr="008935D5" w:rsidRDefault="008935D5" w:rsidP="00DB6AF3">
      <w:pPr>
        <w:ind w:left="720"/>
        <w:rPr>
          <w:lang w:val="fr-FR"/>
        </w:rPr>
      </w:pPr>
      <w:r w:rsidRPr="008935D5">
        <w:rPr>
          <w:lang w:val="fr-FR"/>
        </w:rPr>
        <w:t>Les surfaces non closes, notamment les loggias, les balcons et les car-ports, ne sont pas prises en compte pour le calcul de la surface construite brute.</w:t>
      </w:r>
    </w:p>
    <w:p w14:paraId="70A9B86B" w14:textId="77777777" w:rsidR="008935D5" w:rsidRPr="00DB6AF3" w:rsidRDefault="008935D5" w:rsidP="008935D5">
      <w:pPr>
        <w:rPr>
          <w:b/>
          <w:u w:val="single"/>
          <w:lang w:val="fr-FR"/>
        </w:rPr>
      </w:pPr>
      <w:r w:rsidRPr="00DB6AF3">
        <w:rPr>
          <w:b/>
          <w:u w:val="single"/>
          <w:lang w:val="fr-FR"/>
        </w:rPr>
        <w:t>8. Surface non aménageable</w:t>
      </w:r>
    </w:p>
    <w:p w14:paraId="3A14DDC7" w14:textId="2CA5DA85" w:rsidR="008935D5" w:rsidRPr="008935D5" w:rsidRDefault="008935D5" w:rsidP="00DB6AF3">
      <w:pPr>
        <w:ind w:left="720"/>
        <w:rPr>
          <w:lang w:val="fr-FR"/>
        </w:rPr>
      </w:pPr>
      <w:r w:rsidRPr="008935D5">
        <w:rPr>
          <w:lang w:val="fr-FR"/>
        </w:rPr>
        <w:t>Pour établir si une surface est non aménageable, il convient d’</w:t>
      </w:r>
      <w:r w:rsidR="00DB6AF3">
        <w:rPr>
          <w:lang w:val="fr-FR"/>
        </w:rPr>
        <w:t>appliquer les critères suivants</w:t>
      </w:r>
      <w:r w:rsidRPr="008935D5">
        <w:rPr>
          <w:lang w:val="fr-FR"/>
        </w:rPr>
        <w:t>:</w:t>
      </w:r>
    </w:p>
    <w:p w14:paraId="4D8CED57" w14:textId="79208A59" w:rsidR="008935D5" w:rsidRPr="00DB6AF3" w:rsidRDefault="008935D5" w:rsidP="00DB6AF3">
      <w:pPr>
        <w:ind w:left="720"/>
        <w:rPr>
          <w:u w:val="single"/>
          <w:lang w:val="fr-FR"/>
        </w:rPr>
      </w:pPr>
      <w:r w:rsidRPr="00DB6AF3">
        <w:rPr>
          <w:u w:val="single"/>
          <w:lang w:val="fr-FR"/>
        </w:rPr>
        <w:t>a.</w:t>
      </w:r>
      <w:r w:rsidR="00DB6AF3" w:rsidRPr="00DB6AF3">
        <w:rPr>
          <w:u w:val="single"/>
          <w:lang w:val="fr-FR"/>
        </w:rPr>
        <w:t xml:space="preserve"> hauteur des locaux</w:t>
      </w:r>
    </w:p>
    <w:p w14:paraId="3279F879" w14:textId="77777777" w:rsidR="008935D5" w:rsidRPr="008935D5" w:rsidRDefault="008935D5" w:rsidP="00DB6AF3">
      <w:pPr>
        <w:ind w:left="1440"/>
        <w:rPr>
          <w:lang w:val="fr-FR"/>
        </w:rPr>
      </w:pPr>
      <w:r w:rsidRPr="008935D5">
        <w:rPr>
          <w:lang w:val="fr-FR"/>
        </w:rPr>
        <w:t>Les surfaces, dont la hauteur sous plafond est inférieure à 1,80 mètre, sont considérées comme surfaces non aménageables.</w:t>
      </w:r>
    </w:p>
    <w:p w14:paraId="0C3E19F2" w14:textId="77777777" w:rsidR="008935D5" w:rsidRPr="00DB6AF3" w:rsidRDefault="008935D5" w:rsidP="00DB6AF3">
      <w:pPr>
        <w:ind w:left="720"/>
        <w:rPr>
          <w:u w:val="single"/>
          <w:lang w:val="fr-FR"/>
        </w:rPr>
      </w:pPr>
      <w:r w:rsidRPr="00DB6AF3">
        <w:rPr>
          <w:u w:val="single"/>
          <w:lang w:val="fr-FR"/>
        </w:rPr>
        <w:t>b. affectation des locaux</w:t>
      </w:r>
    </w:p>
    <w:p w14:paraId="4576002D" w14:textId="77777777" w:rsidR="008935D5" w:rsidRPr="008935D5" w:rsidRDefault="008935D5" w:rsidP="00DB6AF3">
      <w:pPr>
        <w:ind w:left="1440"/>
        <w:rPr>
          <w:lang w:val="fr-FR"/>
        </w:rPr>
      </w:pPr>
      <w:r w:rsidRPr="008935D5">
        <w:rPr>
          <w:lang w:val="fr-FR"/>
        </w:rPr>
        <w:t xml:space="preserve">Les locaux techniques qui sont exclusivement affectés au fonctionnement technique de l’immeuble sont à considérer comme surfaces non aménageables. </w:t>
      </w:r>
    </w:p>
    <w:p w14:paraId="5AF19F14" w14:textId="7180818D" w:rsidR="008935D5" w:rsidRPr="008935D5" w:rsidRDefault="008935D5" w:rsidP="00DB6AF3">
      <w:pPr>
        <w:ind w:left="1440"/>
        <w:rPr>
          <w:lang w:val="fr-FR"/>
        </w:rPr>
      </w:pPr>
      <w:r w:rsidRPr="008935D5">
        <w:rPr>
          <w:lang w:val="fr-FR"/>
        </w:rPr>
        <w:t>Sont également à considérer comme surfaces non aménageables, les espaces de circulation, dont les garages, les cages d’escalier et les cages d’ascenseur, les dépôts ainsi que les caves individuelles des constructions collectives ne comportant p</w:t>
      </w:r>
      <w:r w:rsidR="00DB6AF3">
        <w:rPr>
          <w:lang w:val="fr-FR"/>
        </w:rPr>
        <w:t>as d’ouverture sur l’extérieur.</w:t>
      </w:r>
    </w:p>
    <w:p w14:paraId="0270AF37" w14:textId="77777777" w:rsidR="008935D5" w:rsidRPr="008935D5" w:rsidRDefault="008935D5" w:rsidP="00DB6AF3">
      <w:pPr>
        <w:ind w:left="1440"/>
        <w:rPr>
          <w:lang w:val="fr-FR"/>
        </w:rPr>
      </w:pPr>
      <w:r w:rsidRPr="008935D5">
        <w:rPr>
          <w:lang w:val="fr-FR"/>
        </w:rPr>
        <w:t>Par contre, est considéré comme aménageable tout local où peut s’exercer une activité quelconque, tel que les buanderies, ateliers, vestiaires, cantines, réserves commerciales, restaurants, salles de réunion, salles de cinéma et salles d’ordinateurs.</w:t>
      </w:r>
    </w:p>
    <w:p w14:paraId="37FE8881" w14:textId="77777777" w:rsidR="008935D5" w:rsidRPr="00DB6AF3" w:rsidRDefault="008935D5" w:rsidP="00DB6AF3">
      <w:pPr>
        <w:ind w:left="720"/>
        <w:rPr>
          <w:u w:val="single"/>
          <w:lang w:val="fr-FR"/>
        </w:rPr>
      </w:pPr>
      <w:r w:rsidRPr="00DB6AF3">
        <w:rPr>
          <w:u w:val="single"/>
          <w:lang w:val="fr-FR"/>
        </w:rPr>
        <w:t>c. solidité et géométrie des locaux</w:t>
      </w:r>
    </w:p>
    <w:p w14:paraId="3AC78732" w14:textId="40A00EF8" w:rsidR="008935D5" w:rsidRPr="008935D5" w:rsidRDefault="008935D5" w:rsidP="00DB6AF3">
      <w:pPr>
        <w:ind w:left="1440"/>
        <w:rPr>
          <w:lang w:val="fr-FR"/>
        </w:rPr>
      </w:pPr>
      <w:r w:rsidRPr="008935D5">
        <w:rPr>
          <w:lang w:val="fr-FR"/>
        </w:rPr>
        <w:t xml:space="preserve">Sont à considérer comme non aménageables les locaux dont les planchers ne peuvent supporter des charges supérieures à 1,5 </w:t>
      </w:r>
      <w:proofErr w:type="spellStart"/>
      <w:r w:rsidRPr="008935D5">
        <w:rPr>
          <w:lang w:val="fr-FR"/>
        </w:rPr>
        <w:t>kN</w:t>
      </w:r>
      <w:proofErr w:type="spellEnd"/>
      <w:r w:rsidRPr="008935D5">
        <w:rPr>
          <w:lang w:val="fr-FR"/>
        </w:rPr>
        <w:t>/m</w:t>
      </w:r>
      <w:r w:rsidR="00DB6AF3" w:rsidRPr="00DB6AF3">
        <w:rPr>
          <w:vertAlign w:val="superscript"/>
          <w:lang w:val="fr-FR"/>
        </w:rPr>
        <w:t>2</w:t>
      </w:r>
      <w:r w:rsidRPr="008935D5">
        <w:rPr>
          <w:lang w:val="fr-FR"/>
        </w:rPr>
        <w:t xml:space="preserve"> ou en raison de l’encombrement de la charpente ou d’autres installations.</w:t>
      </w:r>
    </w:p>
    <w:p w14:paraId="139A5AD7" w14:textId="77777777" w:rsidR="008935D5" w:rsidRPr="008935D5" w:rsidRDefault="008935D5" w:rsidP="00DB6AF3">
      <w:pPr>
        <w:ind w:left="720"/>
        <w:rPr>
          <w:lang w:val="fr-FR"/>
        </w:rPr>
      </w:pPr>
      <w:r w:rsidRPr="008935D5">
        <w:rPr>
          <w:lang w:val="fr-FR"/>
        </w:rPr>
        <w:t xml:space="preserve">Ces critères </w:t>
      </w:r>
      <w:proofErr w:type="gramStart"/>
      <w:r w:rsidRPr="008935D5">
        <w:rPr>
          <w:lang w:val="fr-FR"/>
        </w:rPr>
        <w:t>a</w:t>
      </w:r>
      <w:proofErr w:type="gramEnd"/>
      <w:r w:rsidRPr="008935D5">
        <w:rPr>
          <w:lang w:val="fr-FR"/>
        </w:rPr>
        <w:t>, b et c ne sont pas cumulatifs.</w:t>
      </w:r>
    </w:p>
    <w:p w14:paraId="239B9D22" w14:textId="77777777" w:rsidR="008935D5" w:rsidRPr="00DB6AF3" w:rsidRDefault="008935D5" w:rsidP="008935D5">
      <w:pPr>
        <w:rPr>
          <w:b/>
          <w:u w:val="single"/>
          <w:lang w:val="fr-FR"/>
        </w:rPr>
      </w:pPr>
      <w:r w:rsidRPr="00DB6AF3">
        <w:rPr>
          <w:b/>
          <w:u w:val="single"/>
          <w:lang w:val="fr-FR"/>
        </w:rPr>
        <w:t>9. Surface hors œuvre</w:t>
      </w:r>
    </w:p>
    <w:p w14:paraId="23E7EF94" w14:textId="77777777" w:rsidR="008935D5" w:rsidRPr="008935D5" w:rsidRDefault="008935D5" w:rsidP="00DB6AF3">
      <w:pPr>
        <w:ind w:left="720"/>
        <w:rPr>
          <w:lang w:val="fr-FR"/>
        </w:rPr>
      </w:pPr>
      <w:r w:rsidRPr="008935D5">
        <w:rPr>
          <w:lang w:val="fr-FR"/>
        </w:rPr>
        <w:lastRenderedPageBreak/>
        <w:t>Est à considérer comme surface hors œuvre,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que les auvents. Sont également à exclure les modénatures tels que les acrotères, bandeaux, corniche ou marquises, ainsi que les rampes et les escaliers extérieurs.</w:t>
      </w:r>
    </w:p>
    <w:p w14:paraId="13DECC85" w14:textId="77777777" w:rsidR="008935D5" w:rsidRPr="008935D5" w:rsidRDefault="008935D5" w:rsidP="00DB6AF3">
      <w:pPr>
        <w:ind w:left="720"/>
        <w:rPr>
          <w:lang w:val="fr-FR"/>
        </w:rPr>
      </w:pPr>
      <w:r w:rsidRPr="008935D5">
        <w:rPr>
          <w:lang w:val="fr-FR"/>
        </w:rPr>
        <w:t xml:space="preserve">En cas d’assainissement énergétique, la couche isolante supplémentaire de même que le nouveau parachèvement extérieur ne seront pas pris en compte. </w:t>
      </w:r>
    </w:p>
    <w:p w14:paraId="6558D64B" w14:textId="77777777" w:rsidR="008935D5" w:rsidRPr="00DB6AF3" w:rsidRDefault="008935D5" w:rsidP="008935D5">
      <w:pPr>
        <w:rPr>
          <w:b/>
          <w:u w:val="single"/>
          <w:lang w:val="fr-FR"/>
        </w:rPr>
      </w:pPr>
      <w:r w:rsidRPr="00DB6AF3">
        <w:rPr>
          <w:b/>
          <w:u w:val="single"/>
          <w:lang w:val="fr-FR"/>
        </w:rPr>
        <w:t>10. Surface d’emprise au sol</w:t>
      </w:r>
    </w:p>
    <w:p w14:paraId="1C21DC22" w14:textId="77777777" w:rsidR="008935D5" w:rsidRPr="008935D5" w:rsidRDefault="008935D5" w:rsidP="00DB6AF3">
      <w:pPr>
        <w:ind w:left="720"/>
        <w:rPr>
          <w:lang w:val="fr-FR"/>
        </w:rPr>
      </w:pPr>
      <w:r w:rsidRPr="008935D5">
        <w:rPr>
          <w:lang w:val="fr-FR"/>
        </w:rPr>
        <w:t>On entend par surface d’emprise au sol la surface hors œuvre mesurée sur le plan du ou des parties de niveaux en contact direct avec le terrain naturel.</w:t>
      </w:r>
    </w:p>
    <w:p w14:paraId="5A06B282" w14:textId="77777777" w:rsidR="008935D5" w:rsidRPr="008935D5" w:rsidRDefault="008935D5" w:rsidP="00DB6AF3">
      <w:pPr>
        <w:ind w:left="720"/>
        <w:rPr>
          <w:lang w:val="fr-FR"/>
        </w:rPr>
      </w:pPr>
      <w:r w:rsidRPr="008935D5">
        <w:rPr>
          <w:lang w:val="fr-FR"/>
        </w:rP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4DFAFADE" w14:textId="77777777" w:rsidR="008935D5" w:rsidRPr="00DB6AF3" w:rsidRDefault="008935D5" w:rsidP="008935D5">
      <w:pPr>
        <w:rPr>
          <w:b/>
          <w:u w:val="single"/>
          <w:lang w:val="fr-FR"/>
        </w:rPr>
      </w:pPr>
      <w:r w:rsidRPr="00DB6AF3">
        <w:rPr>
          <w:b/>
          <w:u w:val="single"/>
          <w:lang w:val="fr-FR"/>
        </w:rPr>
        <w:t>11. Surface scellée</w:t>
      </w:r>
    </w:p>
    <w:p w14:paraId="30770817" w14:textId="77777777" w:rsidR="008935D5" w:rsidRPr="008935D5" w:rsidRDefault="008935D5" w:rsidP="00DB6AF3">
      <w:pPr>
        <w:ind w:left="720"/>
        <w:rPr>
          <w:lang w:val="fr-FR"/>
        </w:rPr>
      </w:pPr>
      <w:r w:rsidRPr="008935D5">
        <w:rPr>
          <w:lang w:val="fr-FR"/>
        </w:rPr>
        <w:t>Est considérée comme surface scellée toute surface dont l'aménagement ne permet pas l'infiltration des eaux pluviales ainsi que toute surface surplombée par une construction.</w:t>
      </w:r>
    </w:p>
    <w:p w14:paraId="617E3458" w14:textId="77777777" w:rsidR="008935D5" w:rsidRPr="008935D5" w:rsidRDefault="008935D5" w:rsidP="00DB6AF3">
      <w:pPr>
        <w:ind w:left="720"/>
        <w:rPr>
          <w:lang w:val="fr-FR"/>
        </w:rPr>
      </w:pPr>
      <w:r w:rsidRPr="008935D5">
        <w:rPr>
          <w:lang w:val="fr-FR"/>
        </w:rPr>
        <w:t>Concernant les surfaces scellées par des constructions souterraines et couvertes de terre végétale, la surface de sol scellée à prendre en compte est réduite par tranche de 15 % pour 15 cm d’épaisseur de couverture de terre végétale, jusqu’à concurrence de 75 %.</w:t>
      </w:r>
    </w:p>
    <w:p w14:paraId="41AAF394" w14:textId="77777777" w:rsidR="008935D5" w:rsidRPr="008935D5" w:rsidRDefault="008935D5" w:rsidP="00DB6AF3">
      <w:pPr>
        <w:ind w:left="720"/>
        <w:rPr>
          <w:lang w:val="fr-FR"/>
        </w:rPr>
      </w:pPr>
      <w:r w:rsidRPr="008935D5">
        <w:rPr>
          <w:lang w:val="fr-FR"/>
        </w:rPr>
        <w:t>Concernant les toitures végétales, la surface scellée à prendre en compte est réduite de 50 pour cent.</w:t>
      </w:r>
    </w:p>
    <w:p w14:paraId="564F45E9" w14:textId="77777777" w:rsidR="008935D5" w:rsidRPr="00DB6AF3" w:rsidRDefault="008935D5" w:rsidP="008935D5">
      <w:pPr>
        <w:rPr>
          <w:b/>
          <w:u w:val="single"/>
          <w:lang w:val="fr-FR"/>
        </w:rPr>
      </w:pPr>
      <w:r w:rsidRPr="00DB6AF3">
        <w:rPr>
          <w:b/>
          <w:u w:val="single"/>
          <w:lang w:val="fr-FR"/>
        </w:rPr>
        <w:t>12. Surface de vente</w:t>
      </w:r>
    </w:p>
    <w:p w14:paraId="3A39F0FC" w14:textId="77777777" w:rsidR="008935D5" w:rsidRPr="008935D5" w:rsidRDefault="008935D5" w:rsidP="00DB6AF3">
      <w:pPr>
        <w:ind w:left="720"/>
        <w:rPr>
          <w:lang w:val="fr-FR"/>
        </w:rPr>
      </w:pPr>
      <w:r w:rsidRPr="008935D5">
        <w:rPr>
          <w:lang w:val="fr-FR"/>
        </w:rPr>
        <w:t>Il s’agit de la surface de vente au sens de la loi du 2 septembre 2011 réglementant l’accès aux professions d’artisan, de commerçant, d’industriel ainsi qu’à certaines professions libérales.</w:t>
      </w:r>
    </w:p>
    <w:p w14:paraId="583DEEC3" w14:textId="54AEDE65" w:rsidR="00DB6AF3" w:rsidRPr="00DB6AF3" w:rsidRDefault="00DB6AF3" w:rsidP="00DB6AF3">
      <w:pPr>
        <w:pStyle w:val="Title"/>
      </w:pPr>
      <w:r>
        <w:lastRenderedPageBreak/>
        <w:t>ANNEXE 2</w:t>
      </w:r>
      <w:r w:rsidRPr="00DB6AF3">
        <w:t>: AUTRES DÉFINITIONS</w:t>
      </w:r>
    </w:p>
    <w:p w14:paraId="5AFD92A5" w14:textId="59E85B1B" w:rsidR="00DB6AF3" w:rsidRPr="00DB6AF3" w:rsidRDefault="00DB6AF3" w:rsidP="00DB6AF3">
      <w:pPr>
        <w:rPr>
          <w:b/>
          <w:u w:val="single"/>
          <w:lang w:val="fr-FR"/>
        </w:rPr>
      </w:pPr>
      <w:r w:rsidRPr="00DB6AF3">
        <w:rPr>
          <w:b/>
          <w:u w:val="single"/>
          <w:lang w:val="fr-FR"/>
        </w:rPr>
        <w:t xml:space="preserve">1. </w:t>
      </w:r>
      <w:r w:rsidRPr="00DB6AF3">
        <w:rPr>
          <w:b/>
          <w:u w:val="single"/>
          <w:lang w:val="fr-FR"/>
        </w:rPr>
        <w:t>Appartement</w:t>
      </w:r>
    </w:p>
    <w:p w14:paraId="4CEF9BAF" w14:textId="7C9CF6AD" w:rsidR="00DB6AF3" w:rsidRPr="00DB6AF3" w:rsidRDefault="00DB6AF3" w:rsidP="00DB6AF3">
      <w:pPr>
        <w:ind w:left="720"/>
        <w:rPr>
          <w:lang w:val="fr-FR"/>
        </w:rPr>
      </w:pPr>
      <w:r w:rsidRPr="00DB6AF3">
        <w:rPr>
          <w:lang w:val="fr-FR"/>
        </w:rPr>
        <w:t>Logement d’une surface habitable de min. 50m</w:t>
      </w:r>
      <w:r w:rsidRPr="00DB6AF3">
        <w:rPr>
          <w:vertAlign w:val="superscript"/>
          <w:lang w:val="fr-FR"/>
        </w:rPr>
        <w:t>2</w:t>
      </w:r>
      <w:r w:rsidRPr="00DB6AF3">
        <w:rPr>
          <w:lang w:val="fr-FR"/>
        </w:rPr>
        <w:t>.</w:t>
      </w:r>
    </w:p>
    <w:p w14:paraId="1F3456F4" w14:textId="490D03F0" w:rsidR="00DB6AF3" w:rsidRPr="00DB6AF3" w:rsidRDefault="00DB6AF3" w:rsidP="00DB6AF3">
      <w:pPr>
        <w:rPr>
          <w:b/>
          <w:u w:val="single"/>
          <w:lang w:val="fr-FR"/>
        </w:rPr>
      </w:pPr>
      <w:r w:rsidRPr="00DB6AF3">
        <w:rPr>
          <w:b/>
          <w:u w:val="single"/>
          <w:lang w:val="fr-FR"/>
        </w:rPr>
        <w:t xml:space="preserve">2. </w:t>
      </w:r>
      <w:r w:rsidRPr="00DB6AF3">
        <w:rPr>
          <w:b/>
          <w:u w:val="single"/>
          <w:lang w:val="fr-FR"/>
        </w:rPr>
        <w:t>Construction légère</w:t>
      </w:r>
    </w:p>
    <w:p w14:paraId="35F881F8" w14:textId="77777777" w:rsidR="00DB6AF3" w:rsidRPr="00DB6AF3" w:rsidRDefault="00DB6AF3" w:rsidP="00DB6AF3">
      <w:pPr>
        <w:ind w:left="720"/>
        <w:rPr>
          <w:lang w:val="fr-FR"/>
        </w:rPr>
      </w:pPr>
      <w:r w:rsidRPr="00DB6AF3">
        <w:rPr>
          <w:lang w:val="fr-FR"/>
        </w:rPr>
        <w:t>Toute construction démontable et/ou transportable de type serre, gloriette, pergola.</w:t>
      </w:r>
    </w:p>
    <w:p w14:paraId="199ECAD5" w14:textId="4A699342" w:rsidR="00DB6AF3" w:rsidRPr="00DB6AF3" w:rsidRDefault="00DB6AF3" w:rsidP="00DB6AF3">
      <w:pPr>
        <w:rPr>
          <w:b/>
          <w:u w:val="single"/>
          <w:lang w:val="fr-FR"/>
        </w:rPr>
      </w:pPr>
      <w:r w:rsidRPr="00DB6AF3">
        <w:rPr>
          <w:b/>
          <w:u w:val="single"/>
          <w:lang w:val="fr-FR"/>
        </w:rPr>
        <w:t xml:space="preserve">3. </w:t>
      </w:r>
      <w:r w:rsidRPr="00DB6AF3">
        <w:rPr>
          <w:b/>
          <w:u w:val="single"/>
          <w:lang w:val="fr-FR"/>
        </w:rPr>
        <w:t>Dépendance</w:t>
      </w:r>
    </w:p>
    <w:p w14:paraId="7BD808A5" w14:textId="77777777" w:rsidR="00DB6AF3" w:rsidRPr="00DB6AF3" w:rsidRDefault="00DB6AF3" w:rsidP="00DB6AF3">
      <w:pPr>
        <w:ind w:left="720"/>
        <w:rPr>
          <w:lang w:val="fr-FR"/>
        </w:rPr>
      </w:pPr>
      <w:r w:rsidRPr="00DB6AF3">
        <w:rPr>
          <w:lang w:val="fr-FR"/>
        </w:rPr>
        <w:t>Tout volume accolé ou isolé, ni destiné au séjour prolongé de personnes, ni destiné à une activité professionnelle, comme notamment les abris de jardin, les garages et les car-ports.</w:t>
      </w:r>
    </w:p>
    <w:p w14:paraId="29D095C8" w14:textId="0724923F" w:rsidR="00DB6AF3" w:rsidRPr="00DB6AF3" w:rsidRDefault="00DB6AF3" w:rsidP="00DB6AF3">
      <w:pPr>
        <w:rPr>
          <w:b/>
          <w:u w:val="single"/>
          <w:lang w:val="fr-FR"/>
        </w:rPr>
      </w:pPr>
      <w:r w:rsidRPr="00DB6AF3">
        <w:rPr>
          <w:b/>
          <w:u w:val="single"/>
          <w:lang w:val="fr-FR"/>
        </w:rPr>
        <w:t>4</w:t>
      </w:r>
      <w:r w:rsidRPr="00DB6AF3">
        <w:rPr>
          <w:b/>
          <w:u w:val="single"/>
          <w:lang w:val="fr-FR"/>
        </w:rPr>
        <w:t xml:space="preserve">. </w:t>
      </w:r>
      <w:r w:rsidRPr="00DB6AF3">
        <w:rPr>
          <w:b/>
          <w:u w:val="single"/>
          <w:lang w:val="fr-FR"/>
        </w:rPr>
        <w:t>Ensemble bâti</w:t>
      </w:r>
    </w:p>
    <w:p w14:paraId="420EEC9A" w14:textId="77777777" w:rsidR="00DB6AF3" w:rsidRPr="00DB6AF3" w:rsidRDefault="00DB6AF3" w:rsidP="00DB6AF3">
      <w:pPr>
        <w:ind w:left="720"/>
        <w:rPr>
          <w:lang w:val="fr-FR"/>
        </w:rPr>
      </w:pPr>
      <w:r w:rsidRPr="00DB6AF3">
        <w:rPr>
          <w:lang w:val="fr-FR"/>
        </w:rPr>
        <w:t>Ensemble de bâtiments, accolés intégralement ou partiellement, voire non accolés entre eux, situés sur une même parcelle ou sur plusieurs parcelles, et construits à l’origine pour constituer une unité fonctionnelle, un ensemble fonctionnel cohérent, indissociable.</w:t>
      </w:r>
    </w:p>
    <w:p w14:paraId="5197ACB5" w14:textId="77777777" w:rsidR="00DB6AF3" w:rsidRPr="00DB6AF3" w:rsidRDefault="00DB6AF3" w:rsidP="00DB6AF3">
      <w:pPr>
        <w:ind w:left="720"/>
        <w:rPr>
          <w:lang w:val="fr-FR"/>
        </w:rPr>
      </w:pPr>
      <w:r w:rsidRPr="00DB6AF3">
        <w:rPr>
          <w:lang w:val="fr-FR"/>
        </w:rPr>
        <w:t>Le cas le plus typique d’un ensemble bâti en milieu rural est l’ensemble bâti de ferme. L’unité fonctionnelle d’un ensemble bâti transparaît notamment au travers d’une composition architecturale homogène d’implantation cohérente et fonctionnelle par rapport à l’espace-rue.</w:t>
      </w:r>
    </w:p>
    <w:p w14:paraId="42C970A6" w14:textId="5029C92A" w:rsidR="00DB6AF3" w:rsidRPr="00DB6AF3" w:rsidRDefault="00DB6AF3" w:rsidP="00DB6AF3">
      <w:pPr>
        <w:rPr>
          <w:b/>
          <w:u w:val="single"/>
          <w:lang w:val="fr-FR"/>
        </w:rPr>
      </w:pPr>
      <w:r w:rsidRPr="00DB6AF3">
        <w:rPr>
          <w:b/>
          <w:u w:val="single"/>
          <w:lang w:val="fr-FR"/>
        </w:rPr>
        <w:t>5</w:t>
      </w:r>
      <w:r w:rsidRPr="00DB6AF3">
        <w:rPr>
          <w:b/>
          <w:u w:val="single"/>
          <w:lang w:val="fr-FR"/>
        </w:rPr>
        <w:t xml:space="preserve">. </w:t>
      </w:r>
      <w:r w:rsidRPr="00DB6AF3">
        <w:rPr>
          <w:b/>
          <w:u w:val="single"/>
          <w:lang w:val="fr-FR"/>
        </w:rPr>
        <w:t>Installation légère (mobilier urbain)</w:t>
      </w:r>
    </w:p>
    <w:p w14:paraId="44F3626D" w14:textId="0BECF482" w:rsidR="00DB6AF3" w:rsidRPr="00DB6AF3" w:rsidRDefault="00DB6AF3" w:rsidP="00DB6AF3">
      <w:pPr>
        <w:ind w:left="720"/>
        <w:rPr>
          <w:lang w:val="fr-FR"/>
        </w:rPr>
      </w:pPr>
      <w:r w:rsidRPr="00DB6AF3">
        <w:rPr>
          <w:lang w:val="fr-FR"/>
        </w:rPr>
        <w:t xml:space="preserve">Sous la dénomination </w:t>
      </w:r>
      <w:r>
        <w:rPr>
          <w:lang w:val="fr-FR"/>
        </w:rPr>
        <w:t>« </w:t>
      </w:r>
      <w:r w:rsidRPr="00DB6AF3">
        <w:rPr>
          <w:lang w:val="fr-FR"/>
        </w:rPr>
        <w:t>installation légère</w:t>
      </w:r>
      <w:r>
        <w:rPr>
          <w:lang w:val="fr-FR"/>
        </w:rPr>
        <w:t> »</w:t>
      </w:r>
      <w:r w:rsidRPr="00DB6AF3">
        <w:rPr>
          <w:lang w:val="fr-FR"/>
        </w:rPr>
        <w:t xml:space="preserve"> sont compris les petits équipements suivants : abribus, poubelle, panneaux, bancs, tonnelles, jeux, balançoires, grills, etc.</w:t>
      </w:r>
    </w:p>
    <w:p w14:paraId="4813CC6F" w14:textId="024A27F4" w:rsidR="00DB6AF3" w:rsidRPr="00DB6AF3" w:rsidRDefault="00DB6AF3" w:rsidP="00DB6AF3">
      <w:pPr>
        <w:rPr>
          <w:b/>
          <w:u w:val="single"/>
          <w:lang w:val="fr-FR"/>
        </w:rPr>
      </w:pPr>
      <w:r w:rsidRPr="00DB6AF3">
        <w:rPr>
          <w:b/>
          <w:u w:val="single"/>
          <w:lang w:val="fr-FR"/>
        </w:rPr>
        <w:t>6</w:t>
      </w:r>
      <w:r w:rsidRPr="00DB6AF3">
        <w:rPr>
          <w:b/>
          <w:u w:val="single"/>
          <w:lang w:val="fr-FR"/>
        </w:rPr>
        <w:t xml:space="preserve">. </w:t>
      </w:r>
      <w:r w:rsidRPr="00DB6AF3">
        <w:rPr>
          <w:b/>
          <w:u w:val="single"/>
          <w:lang w:val="fr-FR"/>
        </w:rPr>
        <w:t>Logement intégré</w:t>
      </w:r>
    </w:p>
    <w:p w14:paraId="3A969A30" w14:textId="77777777" w:rsidR="00DB6AF3" w:rsidRPr="00DB6AF3" w:rsidRDefault="00DB6AF3" w:rsidP="00DB6AF3">
      <w:pPr>
        <w:ind w:left="720"/>
        <w:rPr>
          <w:lang w:val="fr-FR"/>
        </w:rPr>
      </w:pPr>
      <w:r w:rsidRPr="00DB6AF3">
        <w:rPr>
          <w:lang w:val="fr-FR"/>
        </w:rPr>
        <w:t>Logement faisant partie d’une maison de type unifamilial et appartenant au propriétaire du logement principal. Le logement ne peut être destiné qu’à la location et doit être subordonné en surface au logement principal.</w:t>
      </w:r>
    </w:p>
    <w:p w14:paraId="3EA5F170" w14:textId="69438500" w:rsidR="00DB6AF3" w:rsidRPr="00DB6AF3" w:rsidRDefault="00DB6AF3" w:rsidP="00DB6AF3">
      <w:pPr>
        <w:rPr>
          <w:b/>
          <w:u w:val="single"/>
          <w:lang w:val="fr-FR"/>
        </w:rPr>
      </w:pPr>
      <w:r w:rsidRPr="00DB6AF3">
        <w:rPr>
          <w:b/>
          <w:u w:val="single"/>
          <w:lang w:val="fr-FR"/>
        </w:rPr>
        <w:t>7</w:t>
      </w:r>
      <w:r w:rsidRPr="00DB6AF3">
        <w:rPr>
          <w:b/>
          <w:u w:val="single"/>
          <w:lang w:val="fr-FR"/>
        </w:rPr>
        <w:t xml:space="preserve">. </w:t>
      </w:r>
      <w:r w:rsidRPr="00DB6AF3">
        <w:rPr>
          <w:b/>
          <w:u w:val="single"/>
          <w:lang w:val="fr-FR"/>
        </w:rPr>
        <w:t>Logement mobile</w:t>
      </w:r>
    </w:p>
    <w:p w14:paraId="7F2C32E5" w14:textId="77777777" w:rsidR="00DB6AF3" w:rsidRPr="00DB6AF3" w:rsidRDefault="00DB6AF3" w:rsidP="00DB6AF3">
      <w:pPr>
        <w:ind w:left="720"/>
        <w:rPr>
          <w:lang w:val="fr-FR"/>
        </w:rPr>
      </w:pPr>
      <w:r w:rsidRPr="00DB6AF3">
        <w:rPr>
          <w:lang w:val="fr-FR"/>
        </w:rPr>
        <w:t>Tout logement pourvus d’éléments de mobilité (caravane ou « mobile home ») telles que roues, barre de traction.</w:t>
      </w:r>
    </w:p>
    <w:p w14:paraId="5DA979E5" w14:textId="0808F1A8" w:rsidR="00DB6AF3" w:rsidRPr="00DB6AF3" w:rsidRDefault="00DB6AF3" w:rsidP="00DB6AF3">
      <w:pPr>
        <w:rPr>
          <w:b/>
          <w:u w:val="single"/>
          <w:lang w:val="fr-FR"/>
        </w:rPr>
      </w:pPr>
      <w:r w:rsidRPr="00DB6AF3">
        <w:rPr>
          <w:b/>
          <w:u w:val="single"/>
          <w:lang w:val="fr-FR"/>
        </w:rPr>
        <w:t>8</w:t>
      </w:r>
      <w:r w:rsidRPr="00DB6AF3">
        <w:rPr>
          <w:b/>
          <w:u w:val="single"/>
          <w:lang w:val="fr-FR"/>
        </w:rPr>
        <w:t xml:space="preserve">. </w:t>
      </w:r>
      <w:r w:rsidRPr="00DB6AF3">
        <w:rPr>
          <w:b/>
          <w:u w:val="single"/>
          <w:lang w:val="fr-FR"/>
        </w:rPr>
        <w:t>Maison unifamiliale</w:t>
      </w:r>
    </w:p>
    <w:p w14:paraId="49B62606" w14:textId="77777777" w:rsidR="00DB6AF3" w:rsidRPr="00DB6AF3" w:rsidRDefault="00DB6AF3" w:rsidP="00DB6AF3">
      <w:pPr>
        <w:ind w:left="720"/>
        <w:rPr>
          <w:lang w:val="fr-FR"/>
        </w:rPr>
      </w:pPr>
      <w:r w:rsidRPr="00DB6AF3">
        <w:rPr>
          <w:lang w:val="fr-FR"/>
        </w:rPr>
        <w:t>Construction servant au logement permanent et comprenant en principe une seule unité de logement. Un seul logement intégré supplémentaire y est admis.</w:t>
      </w:r>
    </w:p>
    <w:p w14:paraId="6BDD9A3B" w14:textId="3E6587BF" w:rsidR="00DB6AF3" w:rsidRPr="00DB6AF3" w:rsidRDefault="00DB6AF3" w:rsidP="00DB6AF3">
      <w:pPr>
        <w:rPr>
          <w:b/>
          <w:u w:val="single"/>
          <w:lang w:val="fr-FR"/>
        </w:rPr>
      </w:pPr>
      <w:r w:rsidRPr="00DB6AF3">
        <w:rPr>
          <w:b/>
          <w:u w:val="single"/>
          <w:lang w:val="fr-FR"/>
        </w:rPr>
        <w:t>9</w:t>
      </w:r>
      <w:r w:rsidRPr="00DB6AF3">
        <w:rPr>
          <w:b/>
          <w:u w:val="single"/>
          <w:lang w:val="fr-FR"/>
        </w:rPr>
        <w:t xml:space="preserve">. </w:t>
      </w:r>
      <w:r w:rsidRPr="00DB6AF3">
        <w:rPr>
          <w:b/>
          <w:u w:val="single"/>
          <w:lang w:val="fr-FR"/>
        </w:rPr>
        <w:t>Immeuble plurifamilial ou collectif</w:t>
      </w:r>
    </w:p>
    <w:p w14:paraId="2F72B269" w14:textId="77777777" w:rsidR="00DB6AF3" w:rsidRPr="00DB6AF3" w:rsidRDefault="00DB6AF3" w:rsidP="00DB6AF3">
      <w:pPr>
        <w:ind w:left="720"/>
        <w:rPr>
          <w:lang w:val="fr-FR"/>
        </w:rPr>
      </w:pPr>
      <w:r w:rsidRPr="00DB6AF3">
        <w:rPr>
          <w:lang w:val="fr-FR"/>
        </w:rPr>
        <w:t>Construction servant au logement permanent et comprenant plus de deux unités de logement.</w:t>
      </w:r>
    </w:p>
    <w:p w14:paraId="5E332C0D" w14:textId="0CFFB110" w:rsidR="00DB6AF3" w:rsidRPr="00DB6AF3" w:rsidRDefault="00DB6AF3" w:rsidP="00DB6AF3">
      <w:pPr>
        <w:rPr>
          <w:b/>
          <w:u w:val="single"/>
          <w:lang w:val="fr-FR"/>
        </w:rPr>
      </w:pPr>
      <w:r w:rsidRPr="00DB6AF3">
        <w:rPr>
          <w:b/>
          <w:u w:val="single"/>
          <w:lang w:val="fr-FR"/>
        </w:rPr>
        <w:t>10</w:t>
      </w:r>
      <w:r w:rsidRPr="00DB6AF3">
        <w:rPr>
          <w:b/>
          <w:u w:val="single"/>
          <w:lang w:val="fr-FR"/>
        </w:rPr>
        <w:t>. Réaffectation/</w:t>
      </w:r>
      <w:r w:rsidRPr="00DB6AF3">
        <w:rPr>
          <w:b/>
          <w:u w:val="single"/>
          <w:lang w:val="fr-FR"/>
        </w:rPr>
        <w:t>changement d’affectation ou de destination</w:t>
      </w:r>
    </w:p>
    <w:p w14:paraId="6C2DDA9E" w14:textId="77777777" w:rsidR="00DB6AF3" w:rsidRPr="00DB6AF3" w:rsidRDefault="00DB6AF3" w:rsidP="00DB6AF3">
      <w:pPr>
        <w:ind w:left="720"/>
        <w:rPr>
          <w:lang w:val="fr-FR"/>
        </w:rPr>
      </w:pPr>
      <w:r w:rsidRPr="00DB6AF3">
        <w:rPr>
          <w:lang w:val="fr-FR"/>
        </w:rPr>
        <w:lastRenderedPageBreak/>
        <w:t>Changement d’usage ou de fonction de tout ou partie de bâtiment (bâtiment d’habitation, bâtiment agricole, etc.)</w:t>
      </w:r>
    </w:p>
    <w:p w14:paraId="3628CED1" w14:textId="49371C81" w:rsidR="00DB6AF3" w:rsidRPr="00DB6AF3" w:rsidRDefault="00DB6AF3" w:rsidP="00DB6AF3">
      <w:pPr>
        <w:rPr>
          <w:b/>
          <w:u w:val="single"/>
          <w:lang w:val="fr-FR"/>
        </w:rPr>
      </w:pPr>
      <w:r w:rsidRPr="00DB6AF3">
        <w:rPr>
          <w:b/>
          <w:u w:val="single"/>
          <w:lang w:val="fr-FR"/>
        </w:rPr>
        <w:t>11</w:t>
      </w:r>
      <w:r w:rsidRPr="00DB6AF3">
        <w:rPr>
          <w:b/>
          <w:u w:val="single"/>
          <w:lang w:val="fr-FR"/>
        </w:rPr>
        <w:t>.</w:t>
      </w:r>
      <w:r w:rsidRPr="00DB6AF3">
        <w:rPr>
          <w:b/>
          <w:u w:val="single"/>
          <w:lang w:val="fr-FR"/>
        </w:rPr>
        <w:t xml:space="preserve"> Réhabilitation</w:t>
      </w:r>
    </w:p>
    <w:p w14:paraId="569305A9" w14:textId="34F31406" w:rsidR="00DB6AF3" w:rsidRPr="00DB6AF3" w:rsidRDefault="00DB6AF3" w:rsidP="00DB6AF3">
      <w:pPr>
        <w:ind w:left="720"/>
        <w:rPr>
          <w:lang w:val="fr-FR"/>
        </w:rPr>
      </w:pPr>
      <w:r w:rsidRPr="00DB6AF3">
        <w:rPr>
          <w:lang w:val="fr-FR"/>
        </w:rPr>
        <w:t xml:space="preserve">Travaux de rénovation visant l’amélioration générale ou la mise en conformité d’une construction avec les normes en vigueur telles que normes de statique, confort électrique et sanitaire, chauffage, isolation thermique et phonique, équipements de confort. Au sens strict de la définition, la réhabilitation exclut toutes opérations de réaffectation, </w:t>
      </w:r>
      <w:r>
        <w:rPr>
          <w:lang w:val="fr-FR"/>
        </w:rPr>
        <w:t>transformation, démolition et/</w:t>
      </w:r>
      <w:r w:rsidRPr="00DB6AF3">
        <w:rPr>
          <w:lang w:val="fr-FR"/>
        </w:rPr>
        <w:t>ou de reconstruction, bien que des travaux de réhabilitation puissent être combinés avec ces opérations, dans les limites des dispositions réglementaires.</w:t>
      </w:r>
    </w:p>
    <w:p w14:paraId="614D0726" w14:textId="624D6856" w:rsidR="00DB6AF3" w:rsidRPr="00DB6AF3" w:rsidRDefault="00DB6AF3" w:rsidP="00DB6AF3">
      <w:pPr>
        <w:rPr>
          <w:b/>
          <w:u w:val="single"/>
          <w:lang w:val="fr-FR"/>
        </w:rPr>
      </w:pPr>
      <w:r w:rsidRPr="00DB6AF3">
        <w:rPr>
          <w:b/>
          <w:u w:val="single"/>
          <w:lang w:val="fr-FR"/>
        </w:rPr>
        <w:t>12</w:t>
      </w:r>
      <w:r w:rsidRPr="00DB6AF3">
        <w:rPr>
          <w:b/>
          <w:u w:val="single"/>
          <w:lang w:val="fr-FR"/>
        </w:rPr>
        <w:t>.</w:t>
      </w:r>
      <w:r w:rsidRPr="00DB6AF3">
        <w:rPr>
          <w:b/>
          <w:u w:val="single"/>
          <w:lang w:val="fr-FR"/>
        </w:rPr>
        <w:t xml:space="preserve"> Rénovation</w:t>
      </w:r>
    </w:p>
    <w:p w14:paraId="63182614" w14:textId="14A28726" w:rsidR="00DB6AF3" w:rsidRPr="00DB6AF3" w:rsidRDefault="00DB6AF3" w:rsidP="00DB6AF3">
      <w:pPr>
        <w:ind w:left="720"/>
        <w:rPr>
          <w:lang w:val="fr-FR"/>
        </w:rPr>
      </w:pPr>
      <w:r w:rsidRPr="00DB6AF3">
        <w:rPr>
          <w:lang w:val="fr-FR"/>
        </w:rPr>
        <w:t xml:space="preserve">Remise à neuf d’une construction ou partie de construction, restitution d’un aspect neuf. La rénovation peut comporter aussi le changement d’équipements vétustes, ainsi que la modification des cloisonnements (murs porteurs exceptés) et de la distribution intérieure des locaux. Au sens strict de la définition, la rénovation exclut toutes opérations de réaffectation, </w:t>
      </w:r>
      <w:r>
        <w:rPr>
          <w:lang w:val="fr-FR"/>
        </w:rPr>
        <w:t>transformation, démolition et/</w:t>
      </w:r>
      <w:r w:rsidRPr="00DB6AF3">
        <w:rPr>
          <w:lang w:val="fr-FR"/>
        </w:rPr>
        <w:t>ou de reconstruction, bien que des travaux de rénovation puissent être combinés avec ces opérations, dans les limites des dispositions réglementaires.</w:t>
      </w:r>
    </w:p>
    <w:p w14:paraId="3079AEF9" w14:textId="4EA8A586" w:rsidR="00DB6AF3" w:rsidRPr="00DB6AF3" w:rsidRDefault="00DB6AF3" w:rsidP="00DB6AF3">
      <w:pPr>
        <w:rPr>
          <w:b/>
          <w:u w:val="single"/>
          <w:lang w:val="fr-FR"/>
        </w:rPr>
      </w:pPr>
      <w:r w:rsidRPr="00DB6AF3">
        <w:rPr>
          <w:b/>
          <w:u w:val="single"/>
          <w:lang w:val="fr-FR"/>
        </w:rPr>
        <w:t>13</w:t>
      </w:r>
      <w:r w:rsidRPr="00DB6AF3">
        <w:rPr>
          <w:b/>
          <w:u w:val="single"/>
          <w:lang w:val="fr-FR"/>
        </w:rPr>
        <w:t>.</w:t>
      </w:r>
      <w:r w:rsidRPr="00DB6AF3">
        <w:rPr>
          <w:b/>
          <w:u w:val="single"/>
          <w:lang w:val="fr-FR"/>
        </w:rPr>
        <w:t xml:space="preserve"> Restauration</w:t>
      </w:r>
    </w:p>
    <w:p w14:paraId="473A5AE7" w14:textId="77777777" w:rsidR="00DB6AF3" w:rsidRPr="00DB6AF3" w:rsidRDefault="00DB6AF3" w:rsidP="00DB6AF3">
      <w:pPr>
        <w:ind w:left="720"/>
        <w:rPr>
          <w:lang w:val="fr-FR"/>
        </w:rPr>
      </w:pPr>
      <w:r w:rsidRPr="00DB6AF3">
        <w:rPr>
          <w:lang w:val="fr-FR"/>
        </w:rPr>
        <w:t>Travaux de rénovation visant la sauvegarde et la mise en valeur d’une construction ancienne par la réfection, la remise à neuf ou le rétablissement de ladite construction dans son état primitif. La restauration peut en ce sens impliquer la démolition de parties rapportées nuisibles à l'état primitif de la construction. Au sens strict de la démolition, la restauration exclut toutes autres opérations de réaffectation, transformation, démolition et / ou de reconstruction, bien que des travaux de restauration puissent être combinés avec ces opérations, dans les limites des dispositions réglementaires.</w:t>
      </w:r>
    </w:p>
    <w:p w14:paraId="24BE1E98" w14:textId="2CABE5A0" w:rsidR="00DB6AF3" w:rsidRPr="00DB6AF3" w:rsidRDefault="00DB6AF3" w:rsidP="00DB6AF3">
      <w:pPr>
        <w:rPr>
          <w:b/>
          <w:u w:val="single"/>
          <w:lang w:val="fr-FR"/>
        </w:rPr>
      </w:pPr>
      <w:r w:rsidRPr="00DB6AF3">
        <w:rPr>
          <w:b/>
          <w:u w:val="single"/>
          <w:lang w:val="fr-FR"/>
        </w:rPr>
        <w:t>14</w:t>
      </w:r>
      <w:r w:rsidRPr="00DB6AF3">
        <w:rPr>
          <w:b/>
          <w:u w:val="single"/>
          <w:lang w:val="fr-FR"/>
        </w:rPr>
        <w:t>.</w:t>
      </w:r>
      <w:r w:rsidRPr="00DB6AF3">
        <w:rPr>
          <w:b/>
          <w:u w:val="single"/>
          <w:lang w:val="fr-FR"/>
        </w:rPr>
        <w:t xml:space="preserve"> Résidenc</w:t>
      </w:r>
      <w:r w:rsidRPr="00DB6AF3">
        <w:rPr>
          <w:b/>
          <w:u w:val="single"/>
          <w:lang w:val="fr-FR"/>
        </w:rPr>
        <w:t>e à séjour non permanent dite « </w:t>
      </w:r>
      <w:r w:rsidRPr="00DB6AF3">
        <w:rPr>
          <w:b/>
          <w:u w:val="single"/>
          <w:lang w:val="fr-FR"/>
        </w:rPr>
        <w:t>résidence secondaire</w:t>
      </w:r>
      <w:r w:rsidRPr="00DB6AF3">
        <w:rPr>
          <w:b/>
          <w:u w:val="single"/>
          <w:lang w:val="fr-FR"/>
        </w:rPr>
        <w:t> »</w:t>
      </w:r>
    </w:p>
    <w:p w14:paraId="2CA87C6B" w14:textId="77777777" w:rsidR="00DB6AF3" w:rsidRPr="00DB6AF3" w:rsidRDefault="00DB6AF3" w:rsidP="00DB6AF3">
      <w:pPr>
        <w:ind w:left="720"/>
        <w:rPr>
          <w:lang w:val="fr-FR"/>
        </w:rPr>
      </w:pPr>
      <w:r w:rsidRPr="00DB6AF3">
        <w:rPr>
          <w:lang w:val="fr-FR"/>
        </w:rPr>
        <w:t>Elle se définit par une durée d’occupation annuelle de maximum 5 mois cumulés par an. Y sont incluses les maisons de vacances et les maisons de weekend.</w:t>
      </w:r>
    </w:p>
    <w:p w14:paraId="56B9EE7C" w14:textId="3B29A605" w:rsidR="00DB6AF3" w:rsidRPr="00DB6AF3" w:rsidRDefault="00DB6AF3" w:rsidP="00DB6AF3">
      <w:pPr>
        <w:rPr>
          <w:b/>
          <w:u w:val="single"/>
          <w:lang w:val="fr-FR"/>
        </w:rPr>
      </w:pPr>
      <w:r w:rsidRPr="00DB6AF3">
        <w:rPr>
          <w:b/>
          <w:u w:val="single"/>
          <w:lang w:val="fr-FR"/>
        </w:rPr>
        <w:t>15</w:t>
      </w:r>
      <w:r w:rsidRPr="00DB6AF3">
        <w:rPr>
          <w:b/>
          <w:u w:val="single"/>
          <w:lang w:val="fr-FR"/>
        </w:rPr>
        <w:t>.</w:t>
      </w:r>
      <w:r w:rsidRPr="00DB6AF3">
        <w:rPr>
          <w:b/>
          <w:u w:val="single"/>
          <w:lang w:val="fr-FR"/>
        </w:rPr>
        <w:t xml:space="preserve"> Serre</w:t>
      </w:r>
    </w:p>
    <w:p w14:paraId="35FEEE2E" w14:textId="77777777" w:rsidR="00DB6AF3" w:rsidRPr="00DB6AF3" w:rsidRDefault="00DB6AF3" w:rsidP="00DB6AF3">
      <w:pPr>
        <w:ind w:left="720"/>
        <w:rPr>
          <w:lang w:val="fr-FR"/>
        </w:rPr>
      </w:pPr>
      <w:r w:rsidRPr="00DB6AF3">
        <w:rPr>
          <w:lang w:val="fr-FR"/>
        </w:rPr>
        <w:t>Construction légère, vitrée, spécifiquement destinée à la culture de plantes</w:t>
      </w:r>
    </w:p>
    <w:p w14:paraId="10041A1B" w14:textId="47D2E4CF" w:rsidR="00DB6AF3" w:rsidRPr="00DB6AF3" w:rsidRDefault="00DB6AF3" w:rsidP="00DB6AF3">
      <w:pPr>
        <w:rPr>
          <w:b/>
          <w:u w:val="single"/>
          <w:lang w:val="fr-FR"/>
        </w:rPr>
      </w:pPr>
      <w:r w:rsidRPr="00DB6AF3">
        <w:rPr>
          <w:b/>
          <w:u w:val="single"/>
          <w:lang w:val="fr-FR"/>
        </w:rPr>
        <w:t>16</w:t>
      </w:r>
      <w:r w:rsidRPr="00DB6AF3">
        <w:rPr>
          <w:b/>
          <w:u w:val="single"/>
          <w:lang w:val="fr-FR"/>
        </w:rPr>
        <w:t>.</w:t>
      </w:r>
      <w:r w:rsidRPr="00DB6AF3">
        <w:rPr>
          <w:b/>
          <w:u w:val="single"/>
          <w:lang w:val="fr-FR"/>
        </w:rPr>
        <w:t xml:space="preserve"> Studio</w:t>
      </w:r>
    </w:p>
    <w:p w14:paraId="086A248D" w14:textId="3CC96D9F" w:rsidR="00DB6AF3" w:rsidRPr="00DB6AF3" w:rsidRDefault="00DB6AF3" w:rsidP="00DB6AF3">
      <w:pPr>
        <w:ind w:left="720"/>
        <w:rPr>
          <w:lang w:val="fr-FR"/>
        </w:rPr>
      </w:pPr>
      <w:r w:rsidRPr="00DB6AF3">
        <w:rPr>
          <w:lang w:val="fr-FR"/>
        </w:rPr>
        <w:t>Logement d’une surface habitable de min. 30m</w:t>
      </w:r>
      <w:r w:rsidRPr="00DB6AF3">
        <w:rPr>
          <w:vertAlign w:val="superscript"/>
          <w:lang w:val="fr-FR"/>
        </w:rPr>
        <w:t>2</w:t>
      </w:r>
      <w:r w:rsidRPr="00DB6AF3">
        <w:rPr>
          <w:lang w:val="fr-FR"/>
        </w:rPr>
        <w:t xml:space="preserve"> et de max. 49m</w:t>
      </w:r>
      <w:r w:rsidRPr="00DB6AF3">
        <w:rPr>
          <w:vertAlign w:val="superscript"/>
          <w:lang w:val="fr-FR"/>
        </w:rPr>
        <w:t>2</w:t>
      </w:r>
    </w:p>
    <w:p w14:paraId="6B08E52D" w14:textId="00A0AE9F" w:rsidR="00DB6AF3" w:rsidRPr="00DB6AF3" w:rsidRDefault="00DB6AF3" w:rsidP="00DB6AF3">
      <w:pPr>
        <w:rPr>
          <w:b/>
          <w:u w:val="single"/>
          <w:lang w:val="fr-FR"/>
        </w:rPr>
      </w:pPr>
      <w:r w:rsidRPr="00DB6AF3">
        <w:rPr>
          <w:b/>
          <w:u w:val="single"/>
          <w:lang w:val="fr-FR"/>
        </w:rPr>
        <w:t>17</w:t>
      </w:r>
      <w:r w:rsidRPr="00DB6AF3">
        <w:rPr>
          <w:b/>
          <w:u w:val="single"/>
          <w:lang w:val="fr-FR"/>
        </w:rPr>
        <w:t>.</w:t>
      </w:r>
      <w:r w:rsidRPr="00DB6AF3">
        <w:rPr>
          <w:b/>
          <w:u w:val="single"/>
          <w:lang w:val="fr-FR"/>
        </w:rPr>
        <w:t xml:space="preserve"> Surface habitable</w:t>
      </w:r>
    </w:p>
    <w:p w14:paraId="4F4CD2C7" w14:textId="77777777" w:rsidR="00DB6AF3" w:rsidRPr="00DB6AF3" w:rsidRDefault="00DB6AF3" w:rsidP="00DB6AF3">
      <w:pPr>
        <w:ind w:left="720"/>
        <w:rPr>
          <w:lang w:val="fr-FR"/>
        </w:rPr>
      </w:pPr>
      <w:r w:rsidRPr="00DB6AF3">
        <w:rPr>
          <w:lang w:val="fr-FR"/>
        </w:rPr>
        <w:t xml:space="preserve">Surface de plancher construit, après déduction de la surface occupée par les murs, cloisons, </w:t>
      </w:r>
      <w:proofErr w:type="gramStart"/>
      <w:r w:rsidRPr="00DB6AF3">
        <w:rPr>
          <w:lang w:val="fr-FR"/>
        </w:rPr>
        <w:t>marches</w:t>
      </w:r>
      <w:proofErr w:type="gramEnd"/>
      <w:r w:rsidRPr="00DB6AF3">
        <w:rPr>
          <w:lang w:val="fr-FR"/>
        </w:rPr>
        <w:t xml:space="preserve"> et cages d’escaliers, gaines et ébrasements des portes et fenêtres. Il n’est pas tenu compte de la superficie des combles non aménagés, caves, sous-</w:t>
      </w:r>
      <w:r w:rsidRPr="00DB6AF3">
        <w:rPr>
          <w:lang w:val="fr-FR"/>
        </w:rPr>
        <w:lastRenderedPageBreak/>
        <w:t xml:space="preserve">sols, remises, garages, terrasses et </w:t>
      </w:r>
      <w:proofErr w:type="spellStart"/>
      <w:r w:rsidRPr="00DB6AF3">
        <w:rPr>
          <w:lang w:val="fr-FR"/>
        </w:rPr>
        <w:t>toitures-terrasses</w:t>
      </w:r>
      <w:proofErr w:type="spellEnd"/>
      <w:r w:rsidRPr="00DB6AF3">
        <w:rPr>
          <w:lang w:val="fr-FR"/>
        </w:rPr>
        <w:t>, loggias, balcons, ni des surfaces de locaux d’une hauteur sous plafond inférieure à 1,80 mètre.</w:t>
      </w:r>
    </w:p>
    <w:p w14:paraId="513EF7A1" w14:textId="2BD81A56" w:rsidR="00DB6AF3" w:rsidRPr="00DB6AF3" w:rsidRDefault="00DB6AF3" w:rsidP="00DB6AF3">
      <w:pPr>
        <w:rPr>
          <w:b/>
          <w:u w:val="single"/>
          <w:lang w:val="fr-FR"/>
        </w:rPr>
      </w:pPr>
      <w:r w:rsidRPr="00DB6AF3">
        <w:rPr>
          <w:b/>
          <w:u w:val="single"/>
          <w:lang w:val="fr-FR"/>
        </w:rPr>
        <w:t>18</w:t>
      </w:r>
      <w:r w:rsidRPr="00DB6AF3">
        <w:rPr>
          <w:b/>
          <w:u w:val="single"/>
          <w:lang w:val="fr-FR"/>
        </w:rPr>
        <w:t>.</w:t>
      </w:r>
      <w:r w:rsidRPr="00DB6AF3">
        <w:rPr>
          <w:b/>
          <w:u w:val="single"/>
          <w:lang w:val="fr-FR"/>
        </w:rPr>
        <w:t xml:space="preserve"> Surface exploitable</w:t>
      </w:r>
    </w:p>
    <w:p w14:paraId="38FDEE07" w14:textId="77AEC56F" w:rsidR="006605E2" w:rsidRPr="006605E2" w:rsidRDefault="00DB6AF3" w:rsidP="00DB6AF3">
      <w:pPr>
        <w:ind w:left="720"/>
        <w:rPr>
          <w:lang w:val="fr-FR"/>
        </w:rPr>
      </w:pPr>
      <w:r w:rsidRPr="00DB6AF3">
        <w:rPr>
          <w:lang w:val="fr-FR"/>
        </w:rPr>
        <w:t>Surface de plancher const</w:t>
      </w:r>
      <w:bookmarkStart w:id="0" w:name="_GoBack"/>
      <w:bookmarkEnd w:id="0"/>
      <w:r w:rsidRPr="00DB6AF3">
        <w:rPr>
          <w:lang w:val="fr-FR"/>
        </w:rPr>
        <w:t>ruit après déduction des surfaces occupées par les murs, cloisons, marches et cages d’escaliers, gaines et ébrasements des portes et fenêtres et des surfaces réservées aux utilisations secondaires telles que sanitaires, réserves, archives, ...</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336405A"/>
    <w:multiLevelType w:val="hybridMultilevel"/>
    <w:tmpl w:val="1D24567A"/>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935D5"/>
    <w:rsid w:val="008A46DB"/>
    <w:rsid w:val="009D6555"/>
    <w:rsid w:val="00A610F9"/>
    <w:rsid w:val="00AD5B20"/>
    <w:rsid w:val="00B11E93"/>
    <w:rsid w:val="00B208F3"/>
    <w:rsid w:val="00C10C63"/>
    <w:rsid w:val="00C85115"/>
    <w:rsid w:val="00CB2FE8"/>
    <w:rsid w:val="00CF3132"/>
    <w:rsid w:val="00D35FE3"/>
    <w:rsid w:val="00DB6AF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1597</Words>
  <Characters>8787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2021-08-23T07:50:00Z</dcterms:modified>
</cp:coreProperties>
</file>