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bookmarkStart w:id="0" w:name="_GoBack"/>
      <w:bookmarkEnd w:id="0"/>
    </w:p>
    <w:p w14:paraId="6708DB73" w14:textId="4EFC1DCF" w:rsidR="00F30ADD" w:rsidRDefault="00F30ADD" w:rsidP="00F30ADD">
      <w:pPr>
        <w:pStyle w:val="ListParagraph"/>
        <w:numPr>
          <w:ilvl w:val="0"/>
          <w:numId w:val="7"/>
        </w:numPr>
        <w:rPr>
          <w:lang w:val="fr-FR"/>
        </w:rPr>
      </w:pPr>
      <w:r>
        <w:rPr>
          <w:lang w:val="fr-FR"/>
        </w:rPr>
        <w:t>Biotopes</w:t>
      </w:r>
    </w:p>
    <w:p w14:paraId="38469749" w14:textId="6B0D3951" w:rsidR="00460627" w:rsidRPr="00460627" w:rsidRDefault="00460627" w:rsidP="00460627">
      <w:pPr>
        <w:pStyle w:val="Heading2"/>
        <w:rPr>
          <w:lang w:val="fr-FR"/>
        </w:rPr>
      </w:pPr>
      <w:r>
        <w:rPr>
          <w:lang w:val="fr-FR"/>
        </w:rPr>
        <w:t xml:space="preserve">Art. </w:t>
      </w:r>
      <w:r w:rsidRPr="00460627">
        <w:rPr>
          <w:lang w:val="fr-FR"/>
        </w:rPr>
        <w:t>21.2</w:t>
      </w:r>
      <w:r>
        <w:rPr>
          <w:lang w:val="fr-FR"/>
        </w:rPr>
        <w:t xml:space="preserve"> </w:t>
      </w:r>
      <w:r w:rsidRPr="00460627">
        <w:rPr>
          <w:lang w:val="fr-FR"/>
        </w:rPr>
        <w:t xml:space="preserve">Servitude </w:t>
      </w:r>
      <w:r>
        <w:rPr>
          <w:lang w:val="fr-FR"/>
        </w:rPr>
        <w:t>« </w:t>
      </w:r>
      <w:r w:rsidRPr="00460627">
        <w:rPr>
          <w:lang w:val="fr-FR"/>
        </w:rPr>
        <w:t>urbani</w:t>
      </w:r>
      <w:r>
        <w:rPr>
          <w:lang w:val="fr-FR"/>
        </w:rPr>
        <w:t>sation – Réaffectation HORESCA »</w:t>
      </w:r>
      <w:r w:rsidRPr="00460627">
        <w:rPr>
          <w:lang w:val="fr-FR"/>
        </w:rPr>
        <w:t xml:space="preserve"> (R)</w:t>
      </w:r>
    </w:p>
    <w:p w14:paraId="39107633" w14:textId="0726A97C" w:rsidR="00460627" w:rsidRPr="00460627" w:rsidRDefault="00460627" w:rsidP="00460627">
      <w:pPr>
        <w:rPr>
          <w:lang w:val="fr-FR"/>
        </w:rPr>
      </w:pPr>
      <w:r w:rsidRPr="00460627">
        <w:rPr>
          <w:lang w:val="fr-FR"/>
        </w:rPr>
        <w:t>Tout projet de réaffectation portant sur des immeubles couverts par la présente servitude et hébergeant ou ayant hébergé des activités relatives au secteur HORESCA, doit maintenir un seuil compris entre 8 et 12% de la surface construite brute (SCB) desdits bâtiments, dédié à d’autres fonctions que l’habitat. Toutefois, la SCB correspondante ne pourra pas être inférieure à un minimum de 60m2 et ne pourra pas dépasser un maximum de 200m</w:t>
      </w:r>
      <w:r w:rsidRPr="00460627">
        <w:rPr>
          <w:vertAlign w:val="superscript"/>
          <w:lang w:val="fr-FR"/>
        </w:rPr>
        <w:t>2</w:t>
      </w:r>
      <w:r w:rsidRPr="00460627">
        <w:rPr>
          <w:lang w:val="fr-FR"/>
        </w:rPr>
        <w:t>.</w:t>
      </w:r>
    </w:p>
    <w:sectPr w:rsidR="00460627" w:rsidRPr="004606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60627"/>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2021-08-23T09:31:00Z</dcterms:modified>
</cp:coreProperties>
</file>