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989DB" w14:textId="21ED93C8" w:rsidR="00F1353D" w:rsidRPr="00F1353D" w:rsidRDefault="00D55619" w:rsidP="00F1353D">
      <w:pPr>
        <w:pStyle w:val="Heading1"/>
      </w:pPr>
      <w:r>
        <w:t>Art. 19 Quartier existant « Hannert Kirich »</w:t>
      </w:r>
      <w:bookmarkStart w:id="0" w:name="_GoBack"/>
      <w:bookmarkEnd w:id="0"/>
    </w:p>
    <w:p w14:paraId="3E438E78" w14:textId="315372D0" w:rsidR="00D55619" w:rsidRDefault="00D55619" w:rsidP="00D55619">
      <w:r>
        <w:t>Ce quartier existant est composé de la présente partie écrite ainsi que d’une partie graphique règlementaire intitulée « Projet PAP QE Hannert Kirich », élaborée par le bureau d’étude Jonas Architectes.</w:t>
      </w:r>
    </w:p>
    <w:p w14:paraId="40BD56E7" w14:textId="77777777" w:rsidR="00D55619" w:rsidRDefault="00D55619" w:rsidP="00D55619">
      <w:r>
        <w:t>En cas de discordance ou en cas de différence dans les dimensions des parcelles constatées par l'Administration du Cadastre et de la Topographie, les limites et dimensions des emprises constructibles sont à reconsidérer suivant les dimensions effectives des parcelles : les côtes de recul latéral et avant priment sur les côtes de dimensionnement des emprises constructibles. Les côtes de dimensionnement des emprises constructibles priment sur les côtes de recul arrière.</w:t>
      </w:r>
    </w:p>
    <w:p w14:paraId="38FDEE07" w14:textId="0EB5930B" w:rsidR="006605E2" w:rsidRDefault="00D55619" w:rsidP="00D55619">
      <w:r>
        <w:t>Prescriptions pour le quartier « Hannert Kirich » à titre récapitulatif et non exhaustif:</w:t>
      </w:r>
    </w:p>
    <w:tbl>
      <w:tblPr>
        <w:tblStyle w:val="TableGrid"/>
        <w:tblW w:w="0" w:type="auto"/>
        <w:tblLook w:val="04A0" w:firstRow="1" w:lastRow="0" w:firstColumn="1" w:lastColumn="0" w:noHBand="0" w:noVBand="1"/>
      </w:tblPr>
      <w:tblGrid>
        <w:gridCol w:w="1555"/>
        <w:gridCol w:w="1417"/>
        <w:gridCol w:w="2268"/>
        <w:gridCol w:w="1972"/>
        <w:gridCol w:w="1804"/>
      </w:tblGrid>
      <w:tr w:rsidR="00E9348C" w14:paraId="5DB57CC7" w14:textId="77777777" w:rsidTr="00EC7EB2">
        <w:trPr>
          <w:trHeight w:val="318"/>
        </w:trPr>
        <w:tc>
          <w:tcPr>
            <w:tcW w:w="2972" w:type="dxa"/>
            <w:gridSpan w:val="2"/>
            <w:vMerge w:val="restart"/>
            <w:shd w:val="clear" w:color="auto" w:fill="BFBFBF" w:themeFill="background1" w:themeFillShade="BF"/>
            <w:vAlign w:val="center"/>
          </w:tcPr>
          <w:p w14:paraId="636F31EC" w14:textId="77777777" w:rsidR="00E9348C" w:rsidRPr="00B10B8B" w:rsidRDefault="00E9348C" w:rsidP="00EC7EB2">
            <w:pPr>
              <w:pStyle w:val="NormalTableau"/>
              <w:jc w:val="center"/>
              <w:rPr>
                <w:b/>
                <w:u w:val="single"/>
              </w:rPr>
            </w:pPr>
            <w:r w:rsidRPr="00B10B8B">
              <w:rPr>
                <w:b/>
                <w:u w:val="single"/>
              </w:rPr>
              <w:t>Type de prescription</w:t>
            </w:r>
          </w:p>
        </w:tc>
        <w:tc>
          <w:tcPr>
            <w:tcW w:w="6044" w:type="dxa"/>
            <w:gridSpan w:val="3"/>
            <w:shd w:val="clear" w:color="auto" w:fill="BFBFBF" w:themeFill="background1" w:themeFillShade="BF"/>
            <w:vAlign w:val="center"/>
          </w:tcPr>
          <w:p w14:paraId="3BDB0E04" w14:textId="41B96108" w:rsidR="00E9348C" w:rsidRPr="00B10B8B" w:rsidRDefault="00E9348C" w:rsidP="00E9348C">
            <w:pPr>
              <w:pStyle w:val="NormalTableau"/>
              <w:jc w:val="center"/>
              <w:rPr>
                <w:b/>
                <w:u w:val="single"/>
              </w:rPr>
            </w:pPr>
            <w:r w:rsidRPr="00B10B8B">
              <w:rPr>
                <w:b/>
                <w:u w:val="single"/>
              </w:rPr>
              <w:t xml:space="preserve">Prescriptions pour le quartier </w:t>
            </w:r>
            <w:r>
              <w:rPr>
                <w:b/>
                <w:u w:val="single"/>
              </w:rPr>
              <w:t>« Hannert Kirich »</w:t>
            </w:r>
          </w:p>
        </w:tc>
      </w:tr>
      <w:tr w:rsidR="00E9348C" w14:paraId="2FBA134F" w14:textId="77777777" w:rsidTr="00E9348C">
        <w:trPr>
          <w:trHeight w:val="264"/>
        </w:trPr>
        <w:tc>
          <w:tcPr>
            <w:tcW w:w="2972" w:type="dxa"/>
            <w:gridSpan w:val="2"/>
            <w:vMerge/>
            <w:shd w:val="clear" w:color="auto" w:fill="BFBFBF" w:themeFill="background1" w:themeFillShade="BF"/>
            <w:vAlign w:val="center"/>
          </w:tcPr>
          <w:p w14:paraId="1680C985" w14:textId="77777777" w:rsidR="00E9348C" w:rsidRPr="00B10B8B" w:rsidRDefault="00E9348C" w:rsidP="00EC7EB2">
            <w:pPr>
              <w:pStyle w:val="NormalTableau"/>
              <w:jc w:val="center"/>
              <w:rPr>
                <w:b/>
                <w:u w:val="single"/>
              </w:rPr>
            </w:pPr>
          </w:p>
        </w:tc>
        <w:tc>
          <w:tcPr>
            <w:tcW w:w="2268" w:type="dxa"/>
            <w:vMerge w:val="restart"/>
            <w:shd w:val="clear" w:color="auto" w:fill="BFBFBF" w:themeFill="background1" w:themeFillShade="BF"/>
            <w:vAlign w:val="center"/>
          </w:tcPr>
          <w:p w14:paraId="65BFA405" w14:textId="77777777" w:rsidR="00E9348C" w:rsidRPr="00B10B8B" w:rsidRDefault="00E9348C" w:rsidP="00EC7EB2">
            <w:pPr>
              <w:pStyle w:val="NormalTableau"/>
              <w:jc w:val="center"/>
              <w:rPr>
                <w:b/>
                <w:u w:val="single"/>
              </w:rPr>
            </w:pPr>
            <w:r w:rsidRPr="00B10B8B">
              <w:rPr>
                <w:b/>
                <w:u w:val="single"/>
              </w:rPr>
              <w:t>Terrains plats</w:t>
            </w:r>
          </w:p>
        </w:tc>
        <w:tc>
          <w:tcPr>
            <w:tcW w:w="3776" w:type="dxa"/>
            <w:gridSpan w:val="2"/>
            <w:shd w:val="clear" w:color="auto" w:fill="BFBFBF" w:themeFill="background1" w:themeFillShade="BF"/>
            <w:vAlign w:val="center"/>
          </w:tcPr>
          <w:p w14:paraId="04043035" w14:textId="77777777" w:rsidR="00E9348C" w:rsidRPr="00B10B8B" w:rsidRDefault="00E9348C" w:rsidP="00EC7EB2">
            <w:pPr>
              <w:pStyle w:val="NormalTableau"/>
              <w:jc w:val="center"/>
              <w:rPr>
                <w:b/>
                <w:u w:val="single"/>
              </w:rPr>
            </w:pPr>
            <w:r w:rsidRPr="00B10B8B">
              <w:rPr>
                <w:b/>
                <w:u w:val="single"/>
              </w:rPr>
              <w:t>Terrains en fortes pentes</w:t>
            </w:r>
          </w:p>
        </w:tc>
      </w:tr>
      <w:tr w:rsidR="00E9348C" w14:paraId="665D82E7" w14:textId="77777777" w:rsidTr="00E9348C">
        <w:trPr>
          <w:trHeight w:val="493"/>
        </w:trPr>
        <w:tc>
          <w:tcPr>
            <w:tcW w:w="2972" w:type="dxa"/>
            <w:gridSpan w:val="2"/>
            <w:vMerge/>
            <w:shd w:val="clear" w:color="auto" w:fill="BFBFBF" w:themeFill="background1" w:themeFillShade="BF"/>
            <w:vAlign w:val="center"/>
          </w:tcPr>
          <w:p w14:paraId="10837E11" w14:textId="77777777" w:rsidR="00E9348C" w:rsidRPr="00B10B8B" w:rsidRDefault="00E9348C" w:rsidP="00EC7EB2">
            <w:pPr>
              <w:pStyle w:val="NormalTableau"/>
              <w:jc w:val="center"/>
              <w:rPr>
                <w:b/>
                <w:u w:val="single"/>
              </w:rPr>
            </w:pPr>
          </w:p>
        </w:tc>
        <w:tc>
          <w:tcPr>
            <w:tcW w:w="2268" w:type="dxa"/>
            <w:vMerge/>
            <w:shd w:val="clear" w:color="auto" w:fill="BFBFBF" w:themeFill="background1" w:themeFillShade="BF"/>
            <w:vAlign w:val="center"/>
          </w:tcPr>
          <w:p w14:paraId="1F8806C7" w14:textId="77777777" w:rsidR="00E9348C" w:rsidRPr="00B10B8B" w:rsidRDefault="00E9348C" w:rsidP="00EC7EB2">
            <w:pPr>
              <w:pStyle w:val="NormalTableau"/>
              <w:jc w:val="center"/>
              <w:rPr>
                <w:b/>
                <w:u w:val="single"/>
              </w:rPr>
            </w:pPr>
          </w:p>
        </w:tc>
        <w:tc>
          <w:tcPr>
            <w:tcW w:w="1972" w:type="dxa"/>
            <w:shd w:val="clear" w:color="auto" w:fill="BFBFBF" w:themeFill="background1" w:themeFillShade="BF"/>
            <w:vAlign w:val="center"/>
          </w:tcPr>
          <w:p w14:paraId="4078C766" w14:textId="77777777" w:rsidR="00E9348C" w:rsidRPr="00B10B8B" w:rsidRDefault="00E9348C" w:rsidP="00EC7EB2">
            <w:pPr>
              <w:pStyle w:val="NormalTableau"/>
              <w:jc w:val="center"/>
              <w:rPr>
                <w:b/>
                <w:u w:val="single"/>
              </w:rPr>
            </w:pPr>
            <w:r w:rsidRPr="00B10B8B">
              <w:rPr>
                <w:b/>
                <w:u w:val="single"/>
              </w:rPr>
              <w:t>Contre-haut de la voie desservante</w:t>
            </w:r>
          </w:p>
        </w:tc>
        <w:tc>
          <w:tcPr>
            <w:tcW w:w="1804" w:type="dxa"/>
            <w:shd w:val="clear" w:color="auto" w:fill="BFBFBF" w:themeFill="background1" w:themeFillShade="BF"/>
            <w:vAlign w:val="center"/>
          </w:tcPr>
          <w:p w14:paraId="74867C5A" w14:textId="77777777" w:rsidR="00E9348C" w:rsidRPr="00B10B8B" w:rsidRDefault="00E9348C" w:rsidP="00EC7EB2">
            <w:pPr>
              <w:pStyle w:val="NormalTableau"/>
              <w:jc w:val="center"/>
              <w:rPr>
                <w:b/>
                <w:u w:val="single"/>
              </w:rPr>
            </w:pPr>
            <w:r w:rsidRPr="00B10B8B">
              <w:rPr>
                <w:b/>
                <w:u w:val="single"/>
              </w:rPr>
              <w:t>Contrebas de la voie desservante</w:t>
            </w:r>
          </w:p>
        </w:tc>
      </w:tr>
      <w:tr w:rsidR="00E9348C" w14:paraId="2B7F68BC" w14:textId="77777777" w:rsidTr="00E9348C">
        <w:trPr>
          <w:trHeight w:val="609"/>
        </w:trPr>
        <w:tc>
          <w:tcPr>
            <w:tcW w:w="2972" w:type="dxa"/>
            <w:gridSpan w:val="2"/>
            <w:vAlign w:val="center"/>
          </w:tcPr>
          <w:p w14:paraId="6EF2A013" w14:textId="7F03AC3E" w:rsidR="00E9348C" w:rsidRDefault="00E9348C" w:rsidP="00EC7EB2">
            <w:pPr>
              <w:pStyle w:val="NormalTableau"/>
              <w:jc w:val="left"/>
            </w:pPr>
            <w:r w:rsidRPr="00B10B8B">
              <w:t>Reculs des constructions par rapport aux limites du terrain à bâtir net</w:t>
            </w:r>
          </w:p>
        </w:tc>
        <w:tc>
          <w:tcPr>
            <w:tcW w:w="6044" w:type="dxa"/>
            <w:gridSpan w:val="3"/>
            <w:vAlign w:val="center"/>
          </w:tcPr>
          <w:p w14:paraId="658E9F3A" w14:textId="47E53EF5" w:rsidR="00E9348C" w:rsidRDefault="00E9348C" w:rsidP="00EC7EB2">
            <w:pPr>
              <w:pStyle w:val="NormalTableau"/>
              <w:jc w:val="left"/>
            </w:pPr>
            <w:r w:rsidRPr="00E9348C">
              <w:t>Voir partie graphique</w:t>
            </w:r>
          </w:p>
        </w:tc>
      </w:tr>
      <w:tr w:rsidR="00E9348C" w14:paraId="43440A61" w14:textId="77777777" w:rsidTr="00E9348C">
        <w:trPr>
          <w:trHeight w:val="561"/>
        </w:trPr>
        <w:tc>
          <w:tcPr>
            <w:tcW w:w="2972" w:type="dxa"/>
            <w:gridSpan w:val="2"/>
            <w:vAlign w:val="center"/>
          </w:tcPr>
          <w:p w14:paraId="09D3B3C3" w14:textId="11AE7E02" w:rsidR="00E9348C" w:rsidRDefault="00E9348C" w:rsidP="00EC7EB2">
            <w:pPr>
              <w:pStyle w:val="NormalTableau"/>
              <w:jc w:val="left"/>
            </w:pPr>
            <w:r w:rsidRPr="00B10B8B">
              <w:t>Type et implantation des constructions hors sol et sous-sol</w:t>
            </w:r>
          </w:p>
        </w:tc>
        <w:tc>
          <w:tcPr>
            <w:tcW w:w="6044" w:type="dxa"/>
            <w:gridSpan w:val="3"/>
            <w:vAlign w:val="center"/>
          </w:tcPr>
          <w:p w14:paraId="19A3FD95" w14:textId="243F7359" w:rsidR="00E9348C" w:rsidRDefault="00E9348C" w:rsidP="00EC7EB2">
            <w:pPr>
              <w:pStyle w:val="NormalTableau"/>
              <w:jc w:val="left"/>
            </w:pPr>
            <w:r w:rsidRPr="00E9348C">
              <w:t>Voir partie graphique</w:t>
            </w:r>
          </w:p>
        </w:tc>
      </w:tr>
      <w:tr w:rsidR="00E9348C" w14:paraId="7995521F" w14:textId="77777777" w:rsidTr="00E9348C">
        <w:trPr>
          <w:trHeight w:val="413"/>
        </w:trPr>
        <w:tc>
          <w:tcPr>
            <w:tcW w:w="2972" w:type="dxa"/>
            <w:gridSpan w:val="2"/>
            <w:vAlign w:val="center"/>
          </w:tcPr>
          <w:p w14:paraId="5B9FAFE4" w14:textId="77777777" w:rsidR="00E9348C" w:rsidRDefault="00E9348C" w:rsidP="00EC7EB2">
            <w:pPr>
              <w:pStyle w:val="NormalTableau"/>
              <w:jc w:val="left"/>
            </w:pPr>
            <w:r w:rsidRPr="00B10B8B">
              <w:t>Nombre de niveaux</w:t>
            </w:r>
          </w:p>
        </w:tc>
        <w:tc>
          <w:tcPr>
            <w:tcW w:w="6044" w:type="dxa"/>
            <w:gridSpan w:val="3"/>
            <w:vAlign w:val="center"/>
          </w:tcPr>
          <w:p w14:paraId="58882236" w14:textId="478A9563" w:rsidR="00E9348C" w:rsidRDefault="00E9348C" w:rsidP="00EC7EB2">
            <w:pPr>
              <w:pStyle w:val="NormalTableau"/>
              <w:jc w:val="left"/>
            </w:pPr>
            <w:r w:rsidRPr="00E9348C">
              <w:t>Voir partie graphique</w:t>
            </w:r>
          </w:p>
        </w:tc>
      </w:tr>
      <w:tr w:rsidR="00E9348C" w14:paraId="0AE9D5E2" w14:textId="77777777" w:rsidTr="00E9348C">
        <w:trPr>
          <w:trHeight w:val="397"/>
        </w:trPr>
        <w:tc>
          <w:tcPr>
            <w:tcW w:w="1555" w:type="dxa"/>
            <w:vMerge w:val="restart"/>
            <w:vAlign w:val="center"/>
          </w:tcPr>
          <w:p w14:paraId="707C6DAA" w14:textId="77777777" w:rsidR="00E9348C" w:rsidRDefault="00E9348C" w:rsidP="00EC7EB2">
            <w:pPr>
              <w:pStyle w:val="NormalTableau"/>
              <w:jc w:val="left"/>
            </w:pPr>
            <w:r w:rsidRPr="00B10B8B">
              <w:t>Hauteur des constructions</w:t>
            </w:r>
          </w:p>
        </w:tc>
        <w:tc>
          <w:tcPr>
            <w:tcW w:w="1417" w:type="dxa"/>
            <w:vAlign w:val="center"/>
          </w:tcPr>
          <w:p w14:paraId="7087FD14" w14:textId="77777777" w:rsidR="00E9348C" w:rsidRDefault="00E9348C" w:rsidP="00EC7EB2">
            <w:pPr>
              <w:pStyle w:val="NormalTableau"/>
              <w:jc w:val="left"/>
            </w:pPr>
            <w:r w:rsidRPr="00B10B8B">
              <w:t>Corniche</w:t>
            </w:r>
          </w:p>
        </w:tc>
        <w:tc>
          <w:tcPr>
            <w:tcW w:w="2268" w:type="dxa"/>
            <w:vAlign w:val="center"/>
          </w:tcPr>
          <w:p w14:paraId="2C04DEE1" w14:textId="77777777" w:rsidR="00E9348C" w:rsidRDefault="00E9348C" w:rsidP="00EC7EB2">
            <w:pPr>
              <w:pStyle w:val="NormalTableau"/>
              <w:jc w:val="center"/>
            </w:pPr>
            <w:r w:rsidRPr="00B10B8B">
              <w:t>Max 7,00 m</w:t>
            </w:r>
          </w:p>
        </w:tc>
        <w:tc>
          <w:tcPr>
            <w:tcW w:w="1972" w:type="dxa"/>
            <w:vAlign w:val="center"/>
          </w:tcPr>
          <w:p w14:paraId="51E725E5" w14:textId="77777777" w:rsidR="00E9348C" w:rsidRDefault="00E9348C" w:rsidP="00EC7EB2">
            <w:pPr>
              <w:pStyle w:val="NormalTableau"/>
              <w:jc w:val="center"/>
            </w:pPr>
            <w:r w:rsidRPr="00B10B8B">
              <w:t>Max 10,00 m</w:t>
            </w:r>
          </w:p>
        </w:tc>
        <w:tc>
          <w:tcPr>
            <w:tcW w:w="1804" w:type="dxa"/>
            <w:vAlign w:val="center"/>
          </w:tcPr>
          <w:p w14:paraId="2BA598F6" w14:textId="77777777" w:rsidR="00E9348C" w:rsidRDefault="00E9348C" w:rsidP="00EC7EB2">
            <w:pPr>
              <w:pStyle w:val="NormalTableau"/>
              <w:jc w:val="center"/>
            </w:pPr>
            <w:r w:rsidRPr="00B10B8B">
              <w:t>Max 7,00 m</w:t>
            </w:r>
          </w:p>
        </w:tc>
      </w:tr>
      <w:tr w:rsidR="00E9348C" w14:paraId="5029C037" w14:textId="77777777" w:rsidTr="00E9348C">
        <w:trPr>
          <w:trHeight w:val="397"/>
        </w:trPr>
        <w:tc>
          <w:tcPr>
            <w:tcW w:w="1555" w:type="dxa"/>
            <w:vMerge/>
            <w:vAlign w:val="center"/>
          </w:tcPr>
          <w:p w14:paraId="47BF01A3" w14:textId="77777777" w:rsidR="00E9348C" w:rsidRDefault="00E9348C" w:rsidP="00EC7EB2">
            <w:pPr>
              <w:pStyle w:val="NormalTableau"/>
              <w:jc w:val="left"/>
            </w:pPr>
          </w:p>
        </w:tc>
        <w:tc>
          <w:tcPr>
            <w:tcW w:w="1417" w:type="dxa"/>
            <w:vAlign w:val="center"/>
          </w:tcPr>
          <w:p w14:paraId="05AEAF72" w14:textId="77777777" w:rsidR="00E9348C" w:rsidRDefault="00E9348C" w:rsidP="00EC7EB2">
            <w:pPr>
              <w:pStyle w:val="NormalTableau"/>
              <w:jc w:val="left"/>
            </w:pPr>
            <w:r w:rsidRPr="00B10B8B">
              <w:t>Faîtage</w:t>
            </w:r>
          </w:p>
        </w:tc>
        <w:tc>
          <w:tcPr>
            <w:tcW w:w="2268" w:type="dxa"/>
            <w:vAlign w:val="center"/>
          </w:tcPr>
          <w:p w14:paraId="198D6B1A" w14:textId="77777777" w:rsidR="00E9348C" w:rsidRDefault="00E9348C" w:rsidP="00EC7EB2">
            <w:pPr>
              <w:pStyle w:val="NormalTableau"/>
              <w:jc w:val="center"/>
            </w:pPr>
            <w:r w:rsidRPr="00B10B8B">
              <w:t>Max 12,00 m</w:t>
            </w:r>
          </w:p>
        </w:tc>
        <w:tc>
          <w:tcPr>
            <w:tcW w:w="1972" w:type="dxa"/>
            <w:vAlign w:val="center"/>
          </w:tcPr>
          <w:p w14:paraId="6152913F" w14:textId="77777777" w:rsidR="00E9348C" w:rsidRDefault="00E9348C" w:rsidP="00EC7EB2">
            <w:pPr>
              <w:pStyle w:val="NormalTableau"/>
              <w:jc w:val="center"/>
            </w:pPr>
            <w:r w:rsidRPr="00B10B8B">
              <w:t>Max 15,00 m</w:t>
            </w:r>
          </w:p>
        </w:tc>
        <w:tc>
          <w:tcPr>
            <w:tcW w:w="1804" w:type="dxa"/>
            <w:vAlign w:val="center"/>
          </w:tcPr>
          <w:p w14:paraId="379AFEB2" w14:textId="77777777" w:rsidR="00E9348C" w:rsidRDefault="00E9348C" w:rsidP="00EC7EB2">
            <w:pPr>
              <w:pStyle w:val="NormalTableau"/>
              <w:jc w:val="center"/>
            </w:pPr>
            <w:r w:rsidRPr="00B10B8B">
              <w:t>Max 12,00 m</w:t>
            </w:r>
          </w:p>
        </w:tc>
      </w:tr>
      <w:tr w:rsidR="00E9348C" w14:paraId="74B283A8" w14:textId="77777777" w:rsidTr="00E9348C">
        <w:trPr>
          <w:trHeight w:val="397"/>
        </w:trPr>
        <w:tc>
          <w:tcPr>
            <w:tcW w:w="1555" w:type="dxa"/>
            <w:vMerge/>
            <w:vAlign w:val="center"/>
          </w:tcPr>
          <w:p w14:paraId="6CBFD7BE" w14:textId="77777777" w:rsidR="00E9348C" w:rsidRDefault="00E9348C" w:rsidP="00EC7EB2">
            <w:pPr>
              <w:pStyle w:val="NormalTableau"/>
              <w:jc w:val="left"/>
            </w:pPr>
          </w:p>
        </w:tc>
        <w:tc>
          <w:tcPr>
            <w:tcW w:w="1417" w:type="dxa"/>
            <w:vAlign w:val="center"/>
          </w:tcPr>
          <w:p w14:paraId="16C48518" w14:textId="77777777" w:rsidR="00E9348C" w:rsidRDefault="00E9348C" w:rsidP="00EC7EB2">
            <w:pPr>
              <w:pStyle w:val="NormalTableau"/>
              <w:jc w:val="left"/>
            </w:pPr>
            <w:r w:rsidRPr="00B10B8B">
              <w:t>Acrotère</w:t>
            </w:r>
          </w:p>
        </w:tc>
        <w:tc>
          <w:tcPr>
            <w:tcW w:w="2268" w:type="dxa"/>
            <w:vAlign w:val="center"/>
          </w:tcPr>
          <w:p w14:paraId="688EF6DC" w14:textId="7686D3F0" w:rsidR="00E9348C" w:rsidRDefault="00E9348C" w:rsidP="00E9348C">
            <w:pPr>
              <w:pStyle w:val="NormalTableau"/>
              <w:jc w:val="left"/>
            </w:pPr>
            <w:r>
              <w:t>Dernier niveau plein: 7,50 m</w:t>
            </w:r>
          </w:p>
          <w:p w14:paraId="2B1707B7" w14:textId="2D7D9FE4" w:rsidR="00E9348C" w:rsidRDefault="00E9348C" w:rsidP="00E9348C">
            <w:pPr>
              <w:pStyle w:val="NormalTableau"/>
              <w:jc w:val="left"/>
            </w:pPr>
            <w:r>
              <w:t>Etage en retrait: 10,50 m</w:t>
            </w:r>
          </w:p>
        </w:tc>
        <w:tc>
          <w:tcPr>
            <w:tcW w:w="1972" w:type="dxa"/>
            <w:vAlign w:val="center"/>
          </w:tcPr>
          <w:p w14:paraId="082F11FA" w14:textId="493A19DA" w:rsidR="00E9348C" w:rsidRDefault="00E9348C" w:rsidP="00E9348C">
            <w:pPr>
              <w:pStyle w:val="NormalTableau"/>
              <w:jc w:val="left"/>
            </w:pPr>
            <w:r>
              <w:t>Dernier niveau plein: 10,50 m</w:t>
            </w:r>
          </w:p>
          <w:p w14:paraId="3CA946AA" w14:textId="54FE97A3" w:rsidR="00E9348C" w:rsidRDefault="00E9348C" w:rsidP="00E9348C">
            <w:pPr>
              <w:pStyle w:val="NormalTableau"/>
              <w:jc w:val="left"/>
            </w:pPr>
            <w:r>
              <w:t>Etage en retrait: 13,50 m</w:t>
            </w:r>
          </w:p>
        </w:tc>
        <w:tc>
          <w:tcPr>
            <w:tcW w:w="1804" w:type="dxa"/>
            <w:vAlign w:val="center"/>
          </w:tcPr>
          <w:p w14:paraId="66803388" w14:textId="35A2695B" w:rsidR="00E9348C" w:rsidRDefault="00E9348C" w:rsidP="00E9348C">
            <w:pPr>
              <w:pStyle w:val="NormalTableau"/>
              <w:jc w:val="left"/>
            </w:pPr>
            <w:r>
              <w:t>Dernier niveau plein: 7,50 m</w:t>
            </w:r>
          </w:p>
          <w:p w14:paraId="2812CF96" w14:textId="3A124AD4" w:rsidR="00E9348C" w:rsidRDefault="00E9348C" w:rsidP="00E9348C">
            <w:pPr>
              <w:pStyle w:val="NormalTableau"/>
              <w:jc w:val="left"/>
            </w:pPr>
            <w:r>
              <w:t>Etage en retrait: 10,50 m</w:t>
            </w:r>
          </w:p>
        </w:tc>
      </w:tr>
      <w:tr w:rsidR="00E9348C" w14:paraId="71280EC5" w14:textId="77777777" w:rsidTr="00EC7EB2">
        <w:trPr>
          <w:trHeight w:val="397"/>
        </w:trPr>
        <w:tc>
          <w:tcPr>
            <w:tcW w:w="2972" w:type="dxa"/>
            <w:gridSpan w:val="2"/>
            <w:vAlign w:val="center"/>
          </w:tcPr>
          <w:p w14:paraId="7F71BFE2" w14:textId="77777777" w:rsidR="00E9348C" w:rsidRDefault="00E9348C" w:rsidP="00EC7EB2">
            <w:pPr>
              <w:pStyle w:val="NormalTableau"/>
              <w:jc w:val="left"/>
            </w:pPr>
            <w:r w:rsidRPr="00B10B8B">
              <w:t>Nombre d’unités de logement</w:t>
            </w:r>
          </w:p>
        </w:tc>
        <w:tc>
          <w:tcPr>
            <w:tcW w:w="6044" w:type="dxa"/>
            <w:gridSpan w:val="3"/>
            <w:vAlign w:val="center"/>
          </w:tcPr>
          <w:p w14:paraId="7CDACE44" w14:textId="00A45F98" w:rsidR="00E9348C" w:rsidRDefault="00E9348C" w:rsidP="00EC7EB2">
            <w:pPr>
              <w:pStyle w:val="NormalTableau"/>
              <w:jc w:val="left"/>
            </w:pPr>
            <w:r w:rsidRPr="00E9348C">
              <w:t>1 à 2 en fonction des lots</w:t>
            </w:r>
          </w:p>
        </w:tc>
      </w:tr>
      <w:tr w:rsidR="00E9348C" w14:paraId="3CE2634B" w14:textId="77777777" w:rsidTr="00EC7EB2">
        <w:trPr>
          <w:trHeight w:val="397"/>
        </w:trPr>
        <w:tc>
          <w:tcPr>
            <w:tcW w:w="2972" w:type="dxa"/>
            <w:gridSpan w:val="2"/>
            <w:vAlign w:val="center"/>
          </w:tcPr>
          <w:p w14:paraId="28CB9660" w14:textId="77777777" w:rsidR="00E9348C" w:rsidRDefault="00E9348C" w:rsidP="00EC7EB2">
            <w:pPr>
              <w:pStyle w:val="NormalTableau"/>
              <w:jc w:val="left"/>
            </w:pPr>
            <w:r w:rsidRPr="00B10B8B">
              <w:t>Emplacements de stationnement</w:t>
            </w:r>
          </w:p>
        </w:tc>
        <w:tc>
          <w:tcPr>
            <w:tcW w:w="6044" w:type="dxa"/>
            <w:gridSpan w:val="3"/>
            <w:vAlign w:val="center"/>
          </w:tcPr>
          <w:p w14:paraId="2554AFA0" w14:textId="77777777" w:rsidR="00E9348C" w:rsidRDefault="00E9348C" w:rsidP="00EC7EB2">
            <w:pPr>
              <w:pStyle w:val="NormalTableau"/>
              <w:jc w:val="left"/>
            </w:pPr>
            <w:r w:rsidRPr="00B10B8B">
              <w:t>Sur la même parcelle</w:t>
            </w:r>
          </w:p>
        </w:tc>
      </w:tr>
    </w:tbl>
    <w:p w14:paraId="66D6B561" w14:textId="3CF3F3BB" w:rsidR="00E9348C" w:rsidRDefault="00E9348C" w:rsidP="00D55619"/>
    <w:p w14:paraId="75DA1889" w14:textId="6915E2C6" w:rsidR="00E9348C" w:rsidRDefault="00E9348C" w:rsidP="00E9348C">
      <w:pPr>
        <w:pStyle w:val="Heading2"/>
      </w:pPr>
      <w:r>
        <w:t>Art. 19.1 Reculs des constructions par rapport aux limites du terrain à bâtir net</w:t>
      </w:r>
    </w:p>
    <w:p w14:paraId="07A9C3AA" w14:textId="23704323" w:rsidR="00E9348C" w:rsidRDefault="00E9348C" w:rsidP="00D55619">
      <w:r w:rsidRPr="00E9348C">
        <w:t xml:space="preserve">Les reculs avant, latéral et arrière des constructions sont fixées par la partie graphique </w:t>
      </w:r>
      <w:r>
        <w:t>« </w:t>
      </w:r>
      <w:r w:rsidRPr="00E9348C">
        <w:t>Projet PAP QE Hannert Kirich</w:t>
      </w:r>
      <w:r>
        <w:t> »</w:t>
      </w:r>
      <w:r w:rsidRPr="00E9348C">
        <w:t>, spécifique au présent quartier existant.</w:t>
      </w:r>
    </w:p>
    <w:p w14:paraId="24CC50FC" w14:textId="1A9F98B0" w:rsidR="00E9348C" w:rsidRDefault="00E9348C" w:rsidP="00E9348C">
      <w:pPr>
        <w:pStyle w:val="Heading2"/>
      </w:pPr>
      <w:r>
        <w:t>Art. 19.2 Type et implantation des constructions hors-sol et sous-sol</w:t>
      </w:r>
    </w:p>
    <w:p w14:paraId="77B1541A" w14:textId="3A8638AE" w:rsidR="00E9348C" w:rsidRDefault="00E9348C" w:rsidP="00E9348C">
      <w:pPr>
        <w:pStyle w:val="Heading3"/>
      </w:pPr>
      <w:r>
        <w:t>Art. 19.2.1 Prescriptions générales</w:t>
      </w:r>
    </w:p>
    <w:p w14:paraId="5C610690" w14:textId="7383D824" w:rsidR="00E9348C" w:rsidRDefault="00E9348C" w:rsidP="00E9348C">
      <w:r>
        <w:t>Les limites maximales de surface constructible sont précisées par la partie graphique « Projet PAP QE Hannert Kirich », spécifique au présent quartier existant.</w:t>
      </w:r>
    </w:p>
    <w:p w14:paraId="4A3935B0" w14:textId="59F04B5C" w:rsidR="00E9348C" w:rsidRDefault="00E9348C" w:rsidP="00E9348C">
      <w:r>
        <w:t>L’emprise au sol des constructions et leur surface brute constructible doit respecter le tableau suivant:</w:t>
      </w:r>
    </w:p>
    <w:tbl>
      <w:tblPr>
        <w:tblStyle w:val="TableGrid"/>
        <w:tblW w:w="0" w:type="auto"/>
        <w:tblInd w:w="1271" w:type="dxa"/>
        <w:tblLook w:val="04A0" w:firstRow="1" w:lastRow="0" w:firstColumn="1" w:lastColumn="0" w:noHBand="0" w:noVBand="1"/>
      </w:tblPr>
      <w:tblGrid>
        <w:gridCol w:w="851"/>
        <w:gridCol w:w="1417"/>
        <w:gridCol w:w="1418"/>
        <w:gridCol w:w="1701"/>
      </w:tblGrid>
      <w:tr w:rsidR="00A867ED" w14:paraId="747F182D" w14:textId="77777777" w:rsidTr="00A867ED">
        <w:trPr>
          <w:trHeight w:val="274"/>
        </w:trPr>
        <w:tc>
          <w:tcPr>
            <w:tcW w:w="851" w:type="dxa"/>
            <w:vMerge w:val="restart"/>
            <w:shd w:val="clear" w:color="auto" w:fill="BFBFBF" w:themeFill="background1" w:themeFillShade="BF"/>
            <w:vAlign w:val="center"/>
          </w:tcPr>
          <w:p w14:paraId="347BB85E" w14:textId="77777777" w:rsidR="00A867ED" w:rsidRPr="00A867ED" w:rsidRDefault="00A867ED" w:rsidP="00A867ED">
            <w:pPr>
              <w:pStyle w:val="NormalTableau"/>
              <w:jc w:val="center"/>
              <w:rPr>
                <w:b/>
                <w:u w:val="single"/>
              </w:rPr>
            </w:pPr>
          </w:p>
        </w:tc>
        <w:tc>
          <w:tcPr>
            <w:tcW w:w="2835" w:type="dxa"/>
            <w:gridSpan w:val="2"/>
            <w:shd w:val="clear" w:color="auto" w:fill="BFBFBF" w:themeFill="background1" w:themeFillShade="BF"/>
            <w:vAlign w:val="center"/>
          </w:tcPr>
          <w:p w14:paraId="4773FD75" w14:textId="3662C0CB" w:rsidR="00A867ED" w:rsidRPr="00A867ED" w:rsidRDefault="00A867ED" w:rsidP="00A867ED">
            <w:pPr>
              <w:pStyle w:val="NormalTableau"/>
              <w:jc w:val="center"/>
              <w:rPr>
                <w:b/>
                <w:u w:val="single"/>
              </w:rPr>
            </w:pPr>
            <w:r w:rsidRPr="00A867ED">
              <w:rPr>
                <w:b/>
                <w:u w:val="single"/>
              </w:rPr>
              <w:t>Emprise au sol des constructions</w:t>
            </w:r>
          </w:p>
        </w:tc>
        <w:tc>
          <w:tcPr>
            <w:tcW w:w="1701" w:type="dxa"/>
            <w:vMerge w:val="restart"/>
            <w:shd w:val="clear" w:color="auto" w:fill="BFBFBF" w:themeFill="background1" w:themeFillShade="BF"/>
            <w:vAlign w:val="center"/>
          </w:tcPr>
          <w:p w14:paraId="47CF3DB5" w14:textId="77BE029C" w:rsidR="00A867ED" w:rsidRPr="00A867ED" w:rsidRDefault="00A867ED" w:rsidP="00A867ED">
            <w:pPr>
              <w:pStyle w:val="NormalTableau"/>
              <w:jc w:val="center"/>
              <w:rPr>
                <w:b/>
                <w:u w:val="single"/>
              </w:rPr>
            </w:pPr>
            <w:r w:rsidRPr="00A867ED">
              <w:rPr>
                <w:b/>
                <w:u w:val="single"/>
              </w:rPr>
              <w:t>Surface construite brute maximale</w:t>
            </w:r>
          </w:p>
        </w:tc>
      </w:tr>
      <w:tr w:rsidR="00A867ED" w14:paraId="638C97EE" w14:textId="77777777" w:rsidTr="00A867ED">
        <w:trPr>
          <w:trHeight w:val="277"/>
        </w:trPr>
        <w:tc>
          <w:tcPr>
            <w:tcW w:w="851" w:type="dxa"/>
            <w:vMerge/>
            <w:shd w:val="clear" w:color="auto" w:fill="BFBFBF" w:themeFill="background1" w:themeFillShade="BF"/>
            <w:vAlign w:val="center"/>
          </w:tcPr>
          <w:p w14:paraId="4ACF64DE" w14:textId="77777777" w:rsidR="00A867ED" w:rsidRPr="00A867ED" w:rsidRDefault="00A867ED" w:rsidP="00A867ED">
            <w:pPr>
              <w:pStyle w:val="NormalTableau"/>
              <w:jc w:val="center"/>
              <w:rPr>
                <w:b/>
                <w:u w:val="single"/>
              </w:rPr>
            </w:pPr>
          </w:p>
        </w:tc>
        <w:tc>
          <w:tcPr>
            <w:tcW w:w="1417" w:type="dxa"/>
            <w:shd w:val="clear" w:color="auto" w:fill="BFBFBF" w:themeFill="background1" w:themeFillShade="BF"/>
            <w:vAlign w:val="center"/>
          </w:tcPr>
          <w:p w14:paraId="115D6F7E" w14:textId="1E40452D" w:rsidR="00A867ED" w:rsidRPr="00A867ED" w:rsidRDefault="00A867ED" w:rsidP="00A867ED">
            <w:pPr>
              <w:pStyle w:val="NormalTableau"/>
              <w:jc w:val="center"/>
              <w:rPr>
                <w:b/>
                <w:u w:val="single"/>
              </w:rPr>
            </w:pPr>
            <w:r w:rsidRPr="00A867ED">
              <w:rPr>
                <w:b/>
                <w:u w:val="single"/>
              </w:rPr>
              <w:t>Minimale</w:t>
            </w:r>
          </w:p>
        </w:tc>
        <w:tc>
          <w:tcPr>
            <w:tcW w:w="1418" w:type="dxa"/>
            <w:shd w:val="clear" w:color="auto" w:fill="BFBFBF" w:themeFill="background1" w:themeFillShade="BF"/>
            <w:vAlign w:val="center"/>
          </w:tcPr>
          <w:p w14:paraId="488AFC41" w14:textId="07C2FBA0" w:rsidR="00A867ED" w:rsidRPr="00A867ED" w:rsidRDefault="00A867ED" w:rsidP="00A867ED">
            <w:pPr>
              <w:pStyle w:val="NormalTableau"/>
              <w:jc w:val="center"/>
              <w:rPr>
                <w:b/>
                <w:u w:val="single"/>
              </w:rPr>
            </w:pPr>
            <w:r w:rsidRPr="00A867ED">
              <w:rPr>
                <w:b/>
                <w:u w:val="single"/>
              </w:rPr>
              <w:t>Maximale</w:t>
            </w:r>
          </w:p>
        </w:tc>
        <w:tc>
          <w:tcPr>
            <w:tcW w:w="1701" w:type="dxa"/>
            <w:vMerge/>
            <w:shd w:val="clear" w:color="auto" w:fill="BFBFBF" w:themeFill="background1" w:themeFillShade="BF"/>
            <w:vAlign w:val="center"/>
          </w:tcPr>
          <w:p w14:paraId="16FC2E65" w14:textId="77777777" w:rsidR="00A867ED" w:rsidRPr="00A867ED" w:rsidRDefault="00A867ED" w:rsidP="00A867ED">
            <w:pPr>
              <w:pStyle w:val="NormalTableau"/>
              <w:jc w:val="center"/>
              <w:rPr>
                <w:b/>
                <w:u w:val="single"/>
              </w:rPr>
            </w:pPr>
          </w:p>
        </w:tc>
      </w:tr>
      <w:tr w:rsidR="00E9348C" w14:paraId="545A5520" w14:textId="77777777" w:rsidTr="00A867ED">
        <w:trPr>
          <w:trHeight w:val="255"/>
        </w:trPr>
        <w:tc>
          <w:tcPr>
            <w:tcW w:w="851" w:type="dxa"/>
            <w:vAlign w:val="center"/>
          </w:tcPr>
          <w:p w14:paraId="23AD6AFE" w14:textId="43F3F36E" w:rsidR="00E9348C" w:rsidRDefault="00E9348C" w:rsidP="00A867ED">
            <w:pPr>
              <w:pStyle w:val="NormalTableau"/>
              <w:jc w:val="center"/>
            </w:pPr>
            <w:r>
              <w:t>Lot 01</w:t>
            </w:r>
          </w:p>
        </w:tc>
        <w:tc>
          <w:tcPr>
            <w:tcW w:w="1417" w:type="dxa"/>
            <w:vAlign w:val="center"/>
          </w:tcPr>
          <w:p w14:paraId="4EEE4A78" w14:textId="197B0DD7" w:rsidR="00E9348C" w:rsidRDefault="00E9348C" w:rsidP="00A867ED">
            <w:pPr>
              <w:pStyle w:val="NormalTableau"/>
              <w:jc w:val="center"/>
            </w:pPr>
            <w:r>
              <w:t>80 m</w:t>
            </w:r>
            <w:r w:rsidRPr="00E9348C">
              <w:rPr>
                <w:vertAlign w:val="superscript"/>
              </w:rPr>
              <w:t>2</w:t>
            </w:r>
          </w:p>
        </w:tc>
        <w:tc>
          <w:tcPr>
            <w:tcW w:w="1418" w:type="dxa"/>
            <w:vAlign w:val="center"/>
          </w:tcPr>
          <w:p w14:paraId="26ABC047" w14:textId="1C04F5A9" w:rsidR="00E9348C" w:rsidRDefault="00E9348C" w:rsidP="00A867ED">
            <w:pPr>
              <w:pStyle w:val="NormalTableau"/>
              <w:jc w:val="center"/>
            </w:pPr>
            <w:r>
              <w:t>115 m</w:t>
            </w:r>
            <w:r w:rsidRPr="00E9348C">
              <w:rPr>
                <w:vertAlign w:val="superscript"/>
              </w:rPr>
              <w:t>2</w:t>
            </w:r>
          </w:p>
        </w:tc>
        <w:tc>
          <w:tcPr>
            <w:tcW w:w="1701" w:type="dxa"/>
            <w:vAlign w:val="center"/>
          </w:tcPr>
          <w:p w14:paraId="25FC1FBD" w14:textId="41313C26" w:rsidR="00E9348C" w:rsidRDefault="00E9348C" w:rsidP="00A867ED">
            <w:pPr>
              <w:pStyle w:val="NormalTableau"/>
              <w:jc w:val="center"/>
            </w:pPr>
            <w:r>
              <w:t>236 m</w:t>
            </w:r>
            <w:r w:rsidRPr="00E9348C">
              <w:rPr>
                <w:vertAlign w:val="superscript"/>
              </w:rPr>
              <w:t>2</w:t>
            </w:r>
          </w:p>
        </w:tc>
      </w:tr>
      <w:tr w:rsidR="00E9348C" w14:paraId="1B5B2F71" w14:textId="77777777" w:rsidTr="00A867ED">
        <w:trPr>
          <w:trHeight w:val="255"/>
        </w:trPr>
        <w:tc>
          <w:tcPr>
            <w:tcW w:w="851" w:type="dxa"/>
            <w:vAlign w:val="center"/>
          </w:tcPr>
          <w:p w14:paraId="288080B2" w14:textId="56FBA7A6" w:rsidR="00E9348C" w:rsidRDefault="00E9348C" w:rsidP="00A867ED">
            <w:pPr>
              <w:pStyle w:val="NormalTableau"/>
              <w:jc w:val="center"/>
            </w:pPr>
            <w:r>
              <w:t>Lot 02</w:t>
            </w:r>
          </w:p>
        </w:tc>
        <w:tc>
          <w:tcPr>
            <w:tcW w:w="1417" w:type="dxa"/>
            <w:vAlign w:val="center"/>
          </w:tcPr>
          <w:p w14:paraId="64D5FEDC" w14:textId="15C821C9" w:rsidR="00E9348C" w:rsidRDefault="00E9348C" w:rsidP="00A867ED">
            <w:pPr>
              <w:pStyle w:val="NormalTableau"/>
              <w:jc w:val="center"/>
            </w:pPr>
            <w:r>
              <w:t>88 m</w:t>
            </w:r>
            <w:r w:rsidRPr="00E9348C">
              <w:rPr>
                <w:vertAlign w:val="superscript"/>
              </w:rPr>
              <w:t>2</w:t>
            </w:r>
          </w:p>
        </w:tc>
        <w:tc>
          <w:tcPr>
            <w:tcW w:w="1418" w:type="dxa"/>
            <w:vAlign w:val="center"/>
          </w:tcPr>
          <w:p w14:paraId="009F21BB" w14:textId="2CBD3F65" w:rsidR="00E9348C" w:rsidRDefault="00E9348C" w:rsidP="00A867ED">
            <w:pPr>
              <w:pStyle w:val="NormalTableau"/>
              <w:jc w:val="center"/>
            </w:pPr>
            <w:r>
              <w:t>150 m</w:t>
            </w:r>
            <w:r w:rsidRPr="00E9348C">
              <w:rPr>
                <w:vertAlign w:val="superscript"/>
              </w:rPr>
              <w:t>2</w:t>
            </w:r>
          </w:p>
        </w:tc>
        <w:tc>
          <w:tcPr>
            <w:tcW w:w="1701" w:type="dxa"/>
            <w:vAlign w:val="center"/>
          </w:tcPr>
          <w:p w14:paraId="73DDB44F" w14:textId="2F9DAD4B" w:rsidR="00E9348C" w:rsidRDefault="00E9348C" w:rsidP="00A867ED">
            <w:pPr>
              <w:pStyle w:val="NormalTableau"/>
              <w:jc w:val="center"/>
            </w:pPr>
            <w:r>
              <w:t>378 m</w:t>
            </w:r>
            <w:r w:rsidRPr="00E9348C">
              <w:rPr>
                <w:vertAlign w:val="superscript"/>
              </w:rPr>
              <w:t>2</w:t>
            </w:r>
          </w:p>
        </w:tc>
      </w:tr>
      <w:tr w:rsidR="00E9348C" w14:paraId="17B8B301" w14:textId="77777777" w:rsidTr="00A867ED">
        <w:trPr>
          <w:trHeight w:val="255"/>
        </w:trPr>
        <w:tc>
          <w:tcPr>
            <w:tcW w:w="851" w:type="dxa"/>
            <w:vAlign w:val="center"/>
          </w:tcPr>
          <w:p w14:paraId="1437C0EB" w14:textId="63DCE785" w:rsidR="00E9348C" w:rsidRDefault="00E9348C" w:rsidP="00A867ED">
            <w:pPr>
              <w:pStyle w:val="NormalTableau"/>
              <w:jc w:val="center"/>
            </w:pPr>
            <w:r>
              <w:t>Lot 03</w:t>
            </w:r>
          </w:p>
        </w:tc>
        <w:tc>
          <w:tcPr>
            <w:tcW w:w="1417" w:type="dxa"/>
            <w:vAlign w:val="center"/>
          </w:tcPr>
          <w:p w14:paraId="39F0BA0F" w14:textId="323788A1" w:rsidR="00E9348C" w:rsidRDefault="00E9348C" w:rsidP="00A867ED">
            <w:pPr>
              <w:pStyle w:val="NormalTableau"/>
              <w:jc w:val="center"/>
            </w:pPr>
            <w:r>
              <w:t>128 m</w:t>
            </w:r>
            <w:r w:rsidRPr="00E9348C">
              <w:rPr>
                <w:vertAlign w:val="superscript"/>
              </w:rPr>
              <w:t>2</w:t>
            </w:r>
          </w:p>
        </w:tc>
        <w:tc>
          <w:tcPr>
            <w:tcW w:w="1418" w:type="dxa"/>
            <w:vAlign w:val="center"/>
          </w:tcPr>
          <w:p w14:paraId="631E9E40" w14:textId="17374D74" w:rsidR="00E9348C" w:rsidRDefault="00E9348C" w:rsidP="00A867ED">
            <w:pPr>
              <w:pStyle w:val="NormalTableau"/>
              <w:jc w:val="center"/>
            </w:pPr>
            <w:r>
              <w:t>208 m</w:t>
            </w:r>
            <w:r w:rsidRPr="00E9348C">
              <w:rPr>
                <w:vertAlign w:val="superscript"/>
              </w:rPr>
              <w:t>2</w:t>
            </w:r>
          </w:p>
        </w:tc>
        <w:tc>
          <w:tcPr>
            <w:tcW w:w="1701" w:type="dxa"/>
            <w:vAlign w:val="center"/>
          </w:tcPr>
          <w:p w14:paraId="28A9DE0F" w14:textId="041F0A11" w:rsidR="00E9348C" w:rsidRDefault="00E9348C" w:rsidP="00A867ED">
            <w:pPr>
              <w:pStyle w:val="NormalTableau"/>
              <w:jc w:val="center"/>
            </w:pPr>
            <w:r>
              <w:t>493 m</w:t>
            </w:r>
            <w:r w:rsidRPr="00E9348C">
              <w:rPr>
                <w:vertAlign w:val="superscript"/>
              </w:rPr>
              <w:t>2</w:t>
            </w:r>
          </w:p>
        </w:tc>
      </w:tr>
      <w:tr w:rsidR="00E9348C" w14:paraId="536846EA" w14:textId="77777777" w:rsidTr="00A867ED">
        <w:trPr>
          <w:trHeight w:val="255"/>
        </w:trPr>
        <w:tc>
          <w:tcPr>
            <w:tcW w:w="851" w:type="dxa"/>
            <w:vAlign w:val="center"/>
          </w:tcPr>
          <w:p w14:paraId="014CF9BA" w14:textId="20E6EAC0" w:rsidR="00E9348C" w:rsidRDefault="00E9348C" w:rsidP="00A867ED">
            <w:pPr>
              <w:pStyle w:val="NormalTableau"/>
              <w:jc w:val="center"/>
            </w:pPr>
            <w:r>
              <w:t>Lot 04</w:t>
            </w:r>
          </w:p>
        </w:tc>
        <w:tc>
          <w:tcPr>
            <w:tcW w:w="1417" w:type="dxa"/>
            <w:vAlign w:val="center"/>
          </w:tcPr>
          <w:p w14:paraId="0114FB76" w14:textId="5FC68086" w:rsidR="00E9348C" w:rsidRDefault="00E9348C" w:rsidP="00A867ED">
            <w:pPr>
              <w:pStyle w:val="NormalTableau"/>
              <w:jc w:val="center"/>
            </w:pPr>
            <w:r>
              <w:t>92 m</w:t>
            </w:r>
            <w:r w:rsidRPr="00E9348C">
              <w:rPr>
                <w:vertAlign w:val="superscript"/>
              </w:rPr>
              <w:t>2</w:t>
            </w:r>
          </w:p>
        </w:tc>
        <w:tc>
          <w:tcPr>
            <w:tcW w:w="1418" w:type="dxa"/>
            <w:vAlign w:val="center"/>
          </w:tcPr>
          <w:p w14:paraId="1CFF9BC3" w14:textId="2B9B3EF6" w:rsidR="00E9348C" w:rsidRDefault="00E9348C" w:rsidP="00A867ED">
            <w:pPr>
              <w:pStyle w:val="NormalTableau"/>
              <w:jc w:val="center"/>
            </w:pPr>
            <w:r>
              <w:t>136 m</w:t>
            </w:r>
            <w:r w:rsidRPr="00A867ED">
              <w:rPr>
                <w:vertAlign w:val="superscript"/>
              </w:rPr>
              <w:t>2</w:t>
            </w:r>
          </w:p>
        </w:tc>
        <w:tc>
          <w:tcPr>
            <w:tcW w:w="1701" w:type="dxa"/>
            <w:vAlign w:val="center"/>
          </w:tcPr>
          <w:p w14:paraId="1507482B" w14:textId="5DB8BAF8" w:rsidR="00E9348C" w:rsidRDefault="00E9348C" w:rsidP="00A867ED">
            <w:pPr>
              <w:pStyle w:val="NormalTableau"/>
              <w:jc w:val="center"/>
            </w:pPr>
            <w:r>
              <w:t>297 m</w:t>
            </w:r>
            <w:r w:rsidRPr="00E9348C">
              <w:rPr>
                <w:vertAlign w:val="superscript"/>
              </w:rPr>
              <w:t>2</w:t>
            </w:r>
          </w:p>
        </w:tc>
      </w:tr>
      <w:tr w:rsidR="00E9348C" w14:paraId="510FA9AA" w14:textId="77777777" w:rsidTr="00A867ED">
        <w:trPr>
          <w:trHeight w:val="255"/>
        </w:trPr>
        <w:tc>
          <w:tcPr>
            <w:tcW w:w="851" w:type="dxa"/>
            <w:vAlign w:val="center"/>
          </w:tcPr>
          <w:p w14:paraId="64B31847" w14:textId="4DAEB805" w:rsidR="00E9348C" w:rsidRDefault="00E9348C" w:rsidP="00A867ED">
            <w:pPr>
              <w:pStyle w:val="NormalTableau"/>
              <w:jc w:val="center"/>
            </w:pPr>
            <w:r>
              <w:t>Lot 05</w:t>
            </w:r>
          </w:p>
        </w:tc>
        <w:tc>
          <w:tcPr>
            <w:tcW w:w="1417" w:type="dxa"/>
            <w:vAlign w:val="center"/>
          </w:tcPr>
          <w:p w14:paraId="45B74DFC" w14:textId="4AFFCF42" w:rsidR="00E9348C" w:rsidRDefault="00E9348C" w:rsidP="00A867ED">
            <w:pPr>
              <w:pStyle w:val="NormalTableau"/>
              <w:jc w:val="center"/>
            </w:pPr>
            <w:r>
              <w:t>135 m</w:t>
            </w:r>
            <w:r w:rsidRPr="00E9348C">
              <w:rPr>
                <w:vertAlign w:val="superscript"/>
              </w:rPr>
              <w:t>2</w:t>
            </w:r>
          </w:p>
        </w:tc>
        <w:tc>
          <w:tcPr>
            <w:tcW w:w="1418" w:type="dxa"/>
            <w:vAlign w:val="center"/>
          </w:tcPr>
          <w:p w14:paraId="24378F7F" w14:textId="1C8BB731" w:rsidR="00E9348C" w:rsidRDefault="00E9348C" w:rsidP="00A867ED">
            <w:pPr>
              <w:pStyle w:val="NormalTableau"/>
              <w:jc w:val="center"/>
            </w:pPr>
            <w:r>
              <w:t>184 m</w:t>
            </w:r>
            <w:r w:rsidRPr="00E9348C">
              <w:rPr>
                <w:vertAlign w:val="superscript"/>
              </w:rPr>
              <w:t>2</w:t>
            </w:r>
          </w:p>
        </w:tc>
        <w:tc>
          <w:tcPr>
            <w:tcW w:w="1701" w:type="dxa"/>
            <w:vAlign w:val="center"/>
          </w:tcPr>
          <w:p w14:paraId="0288B18A" w14:textId="128551BB" w:rsidR="00E9348C" w:rsidRDefault="00E9348C" w:rsidP="00A867ED">
            <w:pPr>
              <w:pStyle w:val="NormalTableau"/>
              <w:jc w:val="center"/>
            </w:pPr>
            <w:r>
              <w:t>412 m</w:t>
            </w:r>
            <w:r w:rsidRPr="00E9348C">
              <w:rPr>
                <w:vertAlign w:val="superscript"/>
              </w:rPr>
              <w:t>2</w:t>
            </w:r>
          </w:p>
        </w:tc>
      </w:tr>
    </w:tbl>
    <w:p w14:paraId="7287E1F5" w14:textId="312AC968" w:rsidR="00E9348C" w:rsidRDefault="00E9348C" w:rsidP="00E9348C"/>
    <w:p w14:paraId="517D79F0" w14:textId="764DC7A4" w:rsidR="00A867ED" w:rsidRDefault="00A867ED" w:rsidP="00E9348C">
      <w:r w:rsidRPr="00A867ED">
        <w:t xml:space="preserve">Les alignements obligatoires sont précisés par la partie graphique </w:t>
      </w:r>
      <w:r>
        <w:t>« </w:t>
      </w:r>
      <w:r w:rsidRPr="00A867ED">
        <w:t>Projet PAP QE Hannert Kirich</w:t>
      </w:r>
      <w:r>
        <w:t> »</w:t>
      </w:r>
      <w:r w:rsidRPr="00A867ED">
        <w:t>, spécifique au présent quartier existant.</w:t>
      </w:r>
    </w:p>
    <w:p w14:paraId="20F0CD2D" w14:textId="521861D5" w:rsidR="00A867ED" w:rsidRDefault="00A867ED" w:rsidP="00A867ED">
      <w:pPr>
        <w:pStyle w:val="Heading3"/>
      </w:pPr>
      <w:r>
        <w:t>Art. 19.2.2 Prescription spéciales pour le lot 3</w:t>
      </w:r>
    </w:p>
    <w:p w14:paraId="0C6E0ECF" w14:textId="2874D8F6" w:rsidR="00A867ED" w:rsidRDefault="00A867ED" w:rsidP="00A867ED">
      <w:r w:rsidRPr="00A867ED">
        <w:t xml:space="preserve">Pour le lot 3, les alignements obligatoires doivent être construits. C’est-à-dire qu’il est obligatoire de construire la dépendance telle qu’indiquée par la partie graphique </w:t>
      </w:r>
      <w:r>
        <w:t>« </w:t>
      </w:r>
      <w:r w:rsidRPr="00A867ED">
        <w:t>Projet PAP QE Hannert Kirich</w:t>
      </w:r>
      <w:r>
        <w:t> »</w:t>
      </w:r>
      <w:r w:rsidRPr="00A867ED">
        <w:t xml:space="preserve"> de manière à obtenir une construction en </w:t>
      </w:r>
      <w:r>
        <w:t>« </w:t>
      </w:r>
      <w:r w:rsidRPr="00A867ED">
        <w:t>L</w:t>
      </w:r>
      <w:r>
        <w:t> »</w:t>
      </w:r>
      <w:r w:rsidRPr="00A867ED">
        <w:t>. Et qu’il est obligatoire que la longueur de la façade avant de la construction principale additionnée à la longueur de la façade avant de la dépendance fasse 15,50m.</w:t>
      </w:r>
    </w:p>
    <w:p w14:paraId="25B42997" w14:textId="0D51FC74" w:rsidR="00A867ED" w:rsidRDefault="00A867ED" w:rsidP="00A867ED">
      <w:pPr>
        <w:pStyle w:val="Heading2"/>
      </w:pPr>
      <w:r>
        <w:t>Art. 19.3 Nombre de niveaux</w:t>
      </w:r>
    </w:p>
    <w:p w14:paraId="1AE4DC5E" w14:textId="14262EE0" w:rsidR="00A867ED" w:rsidRDefault="00A867ED" w:rsidP="00A867ED">
      <w:r>
        <w:t>Le nombre des niveaux autorisés est réglementé par la partie graphique « Projet PAP QE Hannert Kirich », spécifique au présent quartier existant.</w:t>
      </w:r>
    </w:p>
    <w:p w14:paraId="1D4EAB70" w14:textId="17E0FE86" w:rsidR="00A867ED" w:rsidRDefault="00A867ED" w:rsidP="00A867ED">
      <w:r>
        <w:t>Le niveau défini dans les combles ou comme étage en retrait pourra être aménagé sur une surface correspondante à 80% maximum de la surface du dernier niveau plein.</w:t>
      </w:r>
    </w:p>
    <w:p w14:paraId="2D912888" w14:textId="7C720563" w:rsidR="00A867ED" w:rsidRDefault="00A867ED" w:rsidP="008F7D49">
      <w:pPr>
        <w:pStyle w:val="Heading2"/>
      </w:pPr>
      <w:r>
        <w:t>Art. 19.4 Hauteur des construction</w:t>
      </w:r>
      <w:r w:rsidR="008F7D49">
        <w:t>s</w:t>
      </w:r>
    </w:p>
    <w:p w14:paraId="47995193" w14:textId="5EA3827B" w:rsidR="008F7D49" w:rsidRDefault="008F7D49" w:rsidP="008F7D49">
      <w:pPr>
        <w:pStyle w:val="Heading3"/>
      </w:pPr>
      <w:r>
        <w:t>Art. 19.4.1 Hauteur à la corniche</w:t>
      </w:r>
    </w:p>
    <w:p w14:paraId="33038A57" w14:textId="7E387C4A" w:rsidR="008F7D49" w:rsidRDefault="008F7D49" w:rsidP="008F7D49">
      <w:r>
        <w:t>Les constructions principales doivent présenter les hauteurs à la corniche suivantes:</w:t>
      </w:r>
    </w:p>
    <w:p w14:paraId="41D19F38" w14:textId="08C3C5CC" w:rsidR="008F7D49" w:rsidRDefault="008F7D49" w:rsidP="008F7D49">
      <w:pPr>
        <w:pStyle w:val="ListParagraph"/>
        <w:numPr>
          <w:ilvl w:val="0"/>
          <w:numId w:val="7"/>
        </w:numPr>
      </w:pPr>
      <w:r>
        <w:t>Pour les constructions principales en terrain plat, la hauteur à la corniche est de 7,00 m au maximum;</w:t>
      </w:r>
    </w:p>
    <w:p w14:paraId="5987DA2E" w14:textId="4B09FD0F" w:rsidR="008F7D49" w:rsidRDefault="008F7D49" w:rsidP="008F7D49">
      <w:pPr>
        <w:jc w:val="center"/>
      </w:pPr>
      <w:r>
        <w:rPr>
          <w:noProof/>
          <w:lang w:val="lb-LU" w:eastAsia="lb-LU"/>
        </w:rPr>
        <w:drawing>
          <wp:inline distT="0" distB="0" distL="0" distR="0" wp14:anchorId="378F2F5C" wp14:editId="0B18A1F5">
            <wp:extent cx="1381125" cy="1181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381125" cy="1181100"/>
                    </a:xfrm>
                    <a:prstGeom prst="rect">
                      <a:avLst/>
                    </a:prstGeom>
                  </pic:spPr>
                </pic:pic>
              </a:graphicData>
            </a:graphic>
          </wp:inline>
        </w:drawing>
      </w:r>
    </w:p>
    <w:p w14:paraId="593E061C" w14:textId="1F2ADAEF" w:rsidR="008F7D49" w:rsidRDefault="008F7D49" w:rsidP="008F7D49"/>
    <w:p w14:paraId="4A1DBFBE" w14:textId="02AA6124" w:rsidR="008F7D49" w:rsidRDefault="008F7D49" w:rsidP="008F7D49">
      <w:pPr>
        <w:pStyle w:val="ListParagraph"/>
        <w:numPr>
          <w:ilvl w:val="0"/>
          <w:numId w:val="7"/>
        </w:numPr>
      </w:pPr>
      <w:r w:rsidRPr="008F7D49">
        <w:t>Pour les constructions principales en terrain en forte pente et en contre-haut de la voie desservante, la hauteur à la corniche est de 8,00 m au maxim</w:t>
      </w:r>
      <w:r>
        <w:t>um</w:t>
      </w:r>
      <w:r w:rsidRPr="008F7D49">
        <w:t>;</w:t>
      </w:r>
    </w:p>
    <w:p w14:paraId="08EA2F32" w14:textId="32EBBAE0" w:rsidR="008F7D49" w:rsidRDefault="008C2DA0" w:rsidP="008C2DA0">
      <w:pPr>
        <w:jc w:val="center"/>
      </w:pPr>
      <w:r>
        <w:rPr>
          <w:noProof/>
          <w:lang w:val="lb-LU" w:eastAsia="lb-LU"/>
        </w:rPr>
        <w:lastRenderedPageBreak/>
        <w:drawing>
          <wp:inline distT="0" distB="0" distL="0" distR="0" wp14:anchorId="58EB3847" wp14:editId="52DAE764">
            <wp:extent cx="1419225" cy="1362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419225" cy="1362075"/>
                    </a:xfrm>
                    <a:prstGeom prst="rect">
                      <a:avLst/>
                    </a:prstGeom>
                  </pic:spPr>
                </pic:pic>
              </a:graphicData>
            </a:graphic>
          </wp:inline>
        </w:drawing>
      </w:r>
    </w:p>
    <w:p w14:paraId="186CEB29" w14:textId="258637D2" w:rsidR="008C2DA0" w:rsidRDefault="008C2DA0" w:rsidP="008F7D49"/>
    <w:p w14:paraId="29184869" w14:textId="6ABA71D5" w:rsidR="008C2DA0" w:rsidRDefault="008C2DA0" w:rsidP="008C2DA0">
      <w:pPr>
        <w:pStyle w:val="ListParagraph"/>
        <w:numPr>
          <w:ilvl w:val="0"/>
          <w:numId w:val="7"/>
        </w:numPr>
      </w:pPr>
      <w:r w:rsidRPr="008C2DA0">
        <w:t>Pour les constructions principales en terrain en forte pente et en contrebas de la voie desservante, la hauteur à la corniche est de 7,00 m au maximum.</w:t>
      </w:r>
    </w:p>
    <w:p w14:paraId="0DADF6C9" w14:textId="71E22C40" w:rsidR="008C2DA0" w:rsidRDefault="008C2DA0" w:rsidP="008C2DA0">
      <w:pPr>
        <w:jc w:val="center"/>
      </w:pPr>
      <w:r>
        <w:rPr>
          <w:noProof/>
          <w:lang w:val="lb-LU" w:eastAsia="lb-LU"/>
        </w:rPr>
        <w:drawing>
          <wp:inline distT="0" distB="0" distL="0" distR="0" wp14:anchorId="3ED3B835" wp14:editId="5B4E9CCC">
            <wp:extent cx="1381125" cy="1352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81125" cy="1352550"/>
                    </a:xfrm>
                    <a:prstGeom prst="rect">
                      <a:avLst/>
                    </a:prstGeom>
                  </pic:spPr>
                </pic:pic>
              </a:graphicData>
            </a:graphic>
          </wp:inline>
        </w:drawing>
      </w:r>
    </w:p>
    <w:p w14:paraId="0CC893E8" w14:textId="76F9B8D1" w:rsidR="008C2DA0" w:rsidRDefault="008C2DA0" w:rsidP="008C2DA0"/>
    <w:p w14:paraId="65341033" w14:textId="6AF48638" w:rsidR="008C2DA0" w:rsidRDefault="008C2DA0" w:rsidP="008C2DA0">
      <w:pPr>
        <w:pStyle w:val="Heading3"/>
      </w:pPr>
      <w:r>
        <w:t>Art. 19.4.2 Hauteur au faîtage</w:t>
      </w:r>
    </w:p>
    <w:p w14:paraId="71BBE3F7" w14:textId="09306CD5" w:rsidR="008C2DA0" w:rsidRDefault="008C2DA0" w:rsidP="008C2DA0">
      <w:r>
        <w:t>Les constructions principales doivent présenter les hauteurs au faîtage suivantes:</w:t>
      </w:r>
    </w:p>
    <w:p w14:paraId="12506371" w14:textId="14E39E08" w:rsidR="008C2DA0" w:rsidRDefault="008C2DA0" w:rsidP="008C2DA0">
      <w:pPr>
        <w:pStyle w:val="ListParagraph"/>
        <w:numPr>
          <w:ilvl w:val="0"/>
          <w:numId w:val="7"/>
        </w:numPr>
      </w:pPr>
      <w:r>
        <w:t>Pour les constructions principales en terrain plat, la hauteur au faîtage est de 12,00 m au maximum;</w:t>
      </w:r>
    </w:p>
    <w:p w14:paraId="7B324BA1" w14:textId="696126AB" w:rsidR="008C2DA0" w:rsidRDefault="008C2DA0" w:rsidP="008C2DA0">
      <w:pPr>
        <w:jc w:val="center"/>
      </w:pPr>
      <w:r>
        <w:rPr>
          <w:noProof/>
          <w:lang w:val="lb-LU" w:eastAsia="lb-LU"/>
        </w:rPr>
        <w:drawing>
          <wp:inline distT="0" distB="0" distL="0" distR="0" wp14:anchorId="6A49C012" wp14:editId="2A5A6854">
            <wp:extent cx="1400175" cy="12477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00175" cy="1247775"/>
                    </a:xfrm>
                    <a:prstGeom prst="rect">
                      <a:avLst/>
                    </a:prstGeom>
                  </pic:spPr>
                </pic:pic>
              </a:graphicData>
            </a:graphic>
          </wp:inline>
        </w:drawing>
      </w:r>
    </w:p>
    <w:p w14:paraId="4F156B40" w14:textId="77777777" w:rsidR="008C2DA0" w:rsidRDefault="008C2DA0" w:rsidP="008C2DA0"/>
    <w:p w14:paraId="194F5E5C" w14:textId="09E97C25" w:rsidR="008C2DA0" w:rsidRDefault="008C2DA0" w:rsidP="008C2DA0">
      <w:pPr>
        <w:pStyle w:val="ListParagraph"/>
        <w:numPr>
          <w:ilvl w:val="0"/>
          <w:numId w:val="7"/>
        </w:numPr>
      </w:pPr>
      <w:r>
        <w:t>Pour les constructions principales en terrain en forte pente et en contre-haut de la voie desservante, la hauteur au faîtage est de 15,00 m au maximum;</w:t>
      </w:r>
    </w:p>
    <w:p w14:paraId="54DCD448" w14:textId="3DA7CF8C" w:rsidR="008C2DA0" w:rsidRDefault="008C2DA0" w:rsidP="008C2DA0">
      <w:pPr>
        <w:tabs>
          <w:tab w:val="left" w:pos="1740"/>
        </w:tabs>
        <w:jc w:val="center"/>
      </w:pPr>
      <w:r>
        <w:rPr>
          <w:noProof/>
          <w:lang w:val="lb-LU" w:eastAsia="lb-LU"/>
        </w:rPr>
        <w:drawing>
          <wp:inline distT="0" distB="0" distL="0" distR="0" wp14:anchorId="69D206B9" wp14:editId="3958D162">
            <wp:extent cx="1352550" cy="1323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52550" cy="1323975"/>
                    </a:xfrm>
                    <a:prstGeom prst="rect">
                      <a:avLst/>
                    </a:prstGeom>
                  </pic:spPr>
                </pic:pic>
              </a:graphicData>
            </a:graphic>
          </wp:inline>
        </w:drawing>
      </w:r>
    </w:p>
    <w:p w14:paraId="5D4C581A" w14:textId="77777777" w:rsidR="008C2DA0" w:rsidRDefault="008C2DA0" w:rsidP="008C2DA0"/>
    <w:p w14:paraId="41CE03C9" w14:textId="1F655ED7" w:rsidR="008C2DA0" w:rsidRDefault="008C2DA0" w:rsidP="008C2DA0">
      <w:pPr>
        <w:pStyle w:val="ListParagraph"/>
        <w:numPr>
          <w:ilvl w:val="0"/>
          <w:numId w:val="7"/>
        </w:numPr>
      </w:pPr>
      <w:r>
        <w:lastRenderedPageBreak/>
        <w:t>Pour les constructions principales en terrain en forte pente et en contrebas de la voie desservante, la hauteur au faîtage est de 12,00 m au maximum.</w:t>
      </w:r>
    </w:p>
    <w:p w14:paraId="0EF42777" w14:textId="2395EF51" w:rsidR="008C2DA0" w:rsidRDefault="008C2DA0" w:rsidP="008C2DA0">
      <w:pPr>
        <w:jc w:val="center"/>
      </w:pPr>
      <w:r>
        <w:rPr>
          <w:noProof/>
          <w:lang w:val="lb-LU" w:eastAsia="lb-LU"/>
        </w:rPr>
        <w:drawing>
          <wp:inline distT="0" distB="0" distL="0" distR="0" wp14:anchorId="56BE7139" wp14:editId="630A7777">
            <wp:extent cx="1400175" cy="12858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00175" cy="1285875"/>
                    </a:xfrm>
                    <a:prstGeom prst="rect">
                      <a:avLst/>
                    </a:prstGeom>
                  </pic:spPr>
                </pic:pic>
              </a:graphicData>
            </a:graphic>
          </wp:inline>
        </w:drawing>
      </w:r>
    </w:p>
    <w:p w14:paraId="4A0ABD28" w14:textId="5D3D2B1E" w:rsidR="008C2DA0" w:rsidRDefault="008C2DA0" w:rsidP="008C2DA0"/>
    <w:p w14:paraId="0EAC0ED2" w14:textId="3FA1221B" w:rsidR="008C2DA0" w:rsidRDefault="008C2DA0" w:rsidP="008C2DA0">
      <w:pPr>
        <w:pStyle w:val="Heading3"/>
      </w:pPr>
      <w:r>
        <w:t>Art. 19.4.3 Hauteur à l’acrotère</w:t>
      </w:r>
    </w:p>
    <w:p w14:paraId="1EB06EB2" w14:textId="7274C28F" w:rsidR="008C2DA0" w:rsidRDefault="008C2DA0" w:rsidP="008C2DA0">
      <w:r>
        <w:t>Les constructions principales doivent présenter les hauteurs à l’acrotère suivantes:</w:t>
      </w:r>
    </w:p>
    <w:p w14:paraId="42999069" w14:textId="1845F437" w:rsidR="008C2DA0" w:rsidRDefault="008C2DA0" w:rsidP="008C2DA0">
      <w:pPr>
        <w:pStyle w:val="ListParagraph"/>
        <w:numPr>
          <w:ilvl w:val="0"/>
          <w:numId w:val="7"/>
        </w:numPr>
      </w:pPr>
      <w:r>
        <w:t>Pour les constructions principales en terrain plat, la hauteur à l’acrotère est de 7,50 m au maximum pour le dernier niveau plein et de 10,50 m au maximum pour l’acrotère de l’étage en retrait;</w:t>
      </w:r>
    </w:p>
    <w:p w14:paraId="4EB691A2" w14:textId="28AF6E9A" w:rsidR="008C2DA0" w:rsidRDefault="008C2DA0" w:rsidP="008C2DA0">
      <w:pPr>
        <w:jc w:val="center"/>
      </w:pPr>
      <w:r>
        <w:rPr>
          <w:noProof/>
          <w:lang w:val="lb-LU" w:eastAsia="lb-LU"/>
        </w:rPr>
        <w:drawing>
          <wp:inline distT="0" distB="0" distL="0" distR="0" wp14:anchorId="47E2A4FE" wp14:editId="5CE06C81">
            <wp:extent cx="1447800" cy="1047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47800" cy="1047750"/>
                    </a:xfrm>
                    <a:prstGeom prst="rect">
                      <a:avLst/>
                    </a:prstGeom>
                  </pic:spPr>
                </pic:pic>
              </a:graphicData>
            </a:graphic>
          </wp:inline>
        </w:drawing>
      </w:r>
    </w:p>
    <w:p w14:paraId="6D32C656" w14:textId="77777777" w:rsidR="008C2DA0" w:rsidRDefault="008C2DA0" w:rsidP="008C2DA0"/>
    <w:p w14:paraId="23A630AA" w14:textId="4611718B" w:rsidR="008C2DA0" w:rsidRDefault="008C2DA0" w:rsidP="008C2DA0">
      <w:pPr>
        <w:pStyle w:val="ListParagraph"/>
        <w:numPr>
          <w:ilvl w:val="0"/>
          <w:numId w:val="7"/>
        </w:numPr>
      </w:pPr>
      <w:r>
        <w:t>Pour les constructions principales en terrain en forte pente et en contre-haut de la voie desservante la hauteur à l’acrotère est de 10,50 m au maximum pour le dernier niveau plein et de 13,50 m au maximum pour l’acrotère de l’étage en retrait;</w:t>
      </w:r>
    </w:p>
    <w:p w14:paraId="263DB006" w14:textId="6AEF982E" w:rsidR="008C2DA0" w:rsidRDefault="008C2DA0" w:rsidP="008C2DA0">
      <w:pPr>
        <w:jc w:val="center"/>
      </w:pPr>
      <w:r>
        <w:rPr>
          <w:noProof/>
          <w:lang w:val="lb-LU" w:eastAsia="lb-LU"/>
        </w:rPr>
        <w:drawing>
          <wp:inline distT="0" distB="0" distL="0" distR="0" wp14:anchorId="56CA21CC" wp14:editId="237F6FC5">
            <wp:extent cx="1581150" cy="11334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81150" cy="1133475"/>
                    </a:xfrm>
                    <a:prstGeom prst="rect">
                      <a:avLst/>
                    </a:prstGeom>
                  </pic:spPr>
                </pic:pic>
              </a:graphicData>
            </a:graphic>
          </wp:inline>
        </w:drawing>
      </w:r>
    </w:p>
    <w:p w14:paraId="04ADFEB9" w14:textId="13290609" w:rsidR="008C2DA0" w:rsidRDefault="008C2DA0" w:rsidP="008C2DA0"/>
    <w:p w14:paraId="27D93E58" w14:textId="781CA8EA" w:rsidR="008C2DA0" w:rsidRDefault="008C2DA0" w:rsidP="008C2DA0">
      <w:pPr>
        <w:pStyle w:val="ListParagraph"/>
        <w:numPr>
          <w:ilvl w:val="0"/>
          <w:numId w:val="7"/>
        </w:numPr>
      </w:pPr>
      <w:r w:rsidRPr="008C2DA0">
        <w:t>Pour les constructions principales en terrain en forte pente et en contrebas de la voie desservante, la hauteur à l’acrotère est de 7,50 m au maximum pour le dernier niveau plein et de 10,50 m au maximum pour l’acrotère de l’étage en retrait.</w:t>
      </w:r>
    </w:p>
    <w:p w14:paraId="7E891409" w14:textId="388D1A40" w:rsidR="008C2DA0" w:rsidRDefault="008C2DA0" w:rsidP="008C2DA0">
      <w:pPr>
        <w:jc w:val="center"/>
      </w:pPr>
      <w:r>
        <w:rPr>
          <w:noProof/>
          <w:lang w:val="lb-LU" w:eastAsia="lb-LU"/>
        </w:rPr>
        <w:drawing>
          <wp:inline distT="0" distB="0" distL="0" distR="0" wp14:anchorId="275E17EF" wp14:editId="5FC8E1D9">
            <wp:extent cx="1619250" cy="1104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19250" cy="1104900"/>
                    </a:xfrm>
                    <a:prstGeom prst="rect">
                      <a:avLst/>
                    </a:prstGeom>
                  </pic:spPr>
                </pic:pic>
              </a:graphicData>
            </a:graphic>
          </wp:inline>
        </w:drawing>
      </w:r>
    </w:p>
    <w:p w14:paraId="1834C99E" w14:textId="73A1EC04" w:rsidR="008C2DA0" w:rsidRDefault="008C2DA0" w:rsidP="008C2DA0"/>
    <w:p w14:paraId="25E8392F" w14:textId="39B5EBE3" w:rsidR="008C2DA0" w:rsidRDefault="008C2DA0" w:rsidP="008C2DA0">
      <w:pPr>
        <w:pStyle w:val="Heading2"/>
      </w:pPr>
      <w:r>
        <w:t>Art. 19.5 Éléments en saillie</w:t>
      </w:r>
    </w:p>
    <w:p w14:paraId="13273DFB" w14:textId="5F754CEC" w:rsidR="008C2DA0" w:rsidRDefault="008C2DA0" w:rsidP="008C2DA0">
      <w:r w:rsidRPr="008C2DA0">
        <w:t xml:space="preserve">Les éléments en saillie et les balcons sont interdits sur les façades superposées d’un </w:t>
      </w:r>
      <w:r>
        <w:t>« </w:t>
      </w:r>
      <w:r w:rsidRPr="008C2DA0">
        <w:t>alignement obligatoire pour constructions destinées au séjour prolongé</w:t>
      </w:r>
      <w:r>
        <w:t> »</w:t>
      </w:r>
      <w:r w:rsidRPr="008C2DA0">
        <w:t xml:space="preserve"> tels que définies dans la partie graphique </w:t>
      </w:r>
      <w:r>
        <w:t>« </w:t>
      </w:r>
      <w:r w:rsidRPr="008C2DA0">
        <w:t>Projet PAP QE Hannert Kirich</w:t>
      </w:r>
      <w:r>
        <w:t> »</w:t>
      </w:r>
      <w:r w:rsidRPr="008C2DA0">
        <w:t>, spécifique au présent quartier existant.</w:t>
      </w:r>
    </w:p>
    <w:p w14:paraId="3214D8BF" w14:textId="3F9A7E3A" w:rsidR="008C2DA0" w:rsidRDefault="008C2DA0" w:rsidP="008C2DA0">
      <w:pPr>
        <w:pStyle w:val="Heading2"/>
      </w:pPr>
      <w:r>
        <w:t>Art. 19.6 Toiture</w:t>
      </w:r>
    </w:p>
    <w:p w14:paraId="24E95CD3" w14:textId="6D446706" w:rsidR="008C2DA0" w:rsidRDefault="008C2DA0" w:rsidP="008C2DA0">
      <w:pPr>
        <w:pStyle w:val="Heading3"/>
      </w:pPr>
      <w:r>
        <w:t>Art. 19.6.1 Forme de toiture</w:t>
      </w:r>
    </w:p>
    <w:p w14:paraId="44F7113D" w14:textId="64558EC8" w:rsidR="008C2DA0" w:rsidRDefault="008C2DA0" w:rsidP="008C2DA0">
      <w:r>
        <w:t>Les formes de toiture autorisées sont définies dans la partie graphique « Projet PAP QE Hannert Kirich », spécifique au présent quartier existant.</w:t>
      </w:r>
    </w:p>
    <w:p w14:paraId="555D3470" w14:textId="27AFDD42" w:rsidR="008C2DA0" w:rsidRDefault="008C2DA0" w:rsidP="008C2DA0">
      <w:r>
        <w:t>Les constructions annotées « t2 » sur la partie graphique « Projet PAP QE Hannert Kirich » doivent respecter les points suivants:</w:t>
      </w:r>
    </w:p>
    <w:p w14:paraId="74313BCD" w14:textId="6E71AD78" w:rsidR="008C2DA0" w:rsidRDefault="008C2DA0" w:rsidP="008C2DA0">
      <w:pPr>
        <w:pStyle w:val="ListParagraph"/>
        <w:numPr>
          <w:ilvl w:val="0"/>
          <w:numId w:val="7"/>
        </w:numPr>
      </w:pPr>
      <w:r>
        <w:t>Elles doivent avoir une toiture à deux versants et de pente égale, comprise en 35° et 40°;</w:t>
      </w:r>
    </w:p>
    <w:p w14:paraId="1A18C211" w14:textId="486BC589" w:rsidR="008C2DA0" w:rsidRDefault="008C2DA0" w:rsidP="008C2DA0">
      <w:pPr>
        <w:jc w:val="center"/>
      </w:pPr>
      <w:r>
        <w:rPr>
          <w:noProof/>
          <w:lang w:val="lb-LU" w:eastAsia="lb-LU"/>
        </w:rPr>
        <w:drawing>
          <wp:inline distT="0" distB="0" distL="0" distR="0" wp14:anchorId="77FAE027" wp14:editId="6E7638BE">
            <wp:extent cx="1247775" cy="8191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47775" cy="819150"/>
                    </a:xfrm>
                    <a:prstGeom prst="rect">
                      <a:avLst/>
                    </a:prstGeom>
                  </pic:spPr>
                </pic:pic>
              </a:graphicData>
            </a:graphic>
          </wp:inline>
        </w:drawing>
      </w:r>
    </w:p>
    <w:p w14:paraId="698603FD" w14:textId="6E8F51A9" w:rsidR="008C2DA0" w:rsidRDefault="008C2DA0" w:rsidP="008C2DA0"/>
    <w:p w14:paraId="1801287A" w14:textId="77777777" w:rsidR="008C2DA0" w:rsidRDefault="008C2DA0" w:rsidP="008C2DA0">
      <w:pPr>
        <w:pStyle w:val="ListParagraph"/>
        <w:numPr>
          <w:ilvl w:val="0"/>
          <w:numId w:val="7"/>
        </w:numPr>
      </w:pPr>
      <w:r>
        <w:t>Elles doivent être disposées conformément à la direction du faîte précisée par la partie graphique « Projet PAP QE Hannert Kirich »;</w:t>
      </w:r>
    </w:p>
    <w:p w14:paraId="0B3CC1B9" w14:textId="7F7A9D31" w:rsidR="008C2DA0" w:rsidRDefault="008C2DA0" w:rsidP="008C2DA0">
      <w:pPr>
        <w:pStyle w:val="ListParagraph"/>
        <w:numPr>
          <w:ilvl w:val="0"/>
          <w:numId w:val="7"/>
        </w:numPr>
      </w:pPr>
      <w:r>
        <w:t>Les demi-croupes sont autorisées.</w:t>
      </w:r>
    </w:p>
    <w:p w14:paraId="1DED6EF1" w14:textId="564B46E9" w:rsidR="008C2DA0" w:rsidRDefault="008C2DA0" w:rsidP="008C2DA0">
      <w:pPr>
        <w:jc w:val="center"/>
      </w:pPr>
      <w:r>
        <w:rPr>
          <w:noProof/>
          <w:lang w:val="lb-LU" w:eastAsia="lb-LU"/>
        </w:rPr>
        <w:drawing>
          <wp:inline distT="0" distB="0" distL="0" distR="0" wp14:anchorId="3B6B5361" wp14:editId="1F6A910C">
            <wp:extent cx="1314450" cy="704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14450" cy="704850"/>
                    </a:xfrm>
                    <a:prstGeom prst="rect">
                      <a:avLst/>
                    </a:prstGeom>
                  </pic:spPr>
                </pic:pic>
              </a:graphicData>
            </a:graphic>
          </wp:inline>
        </w:drawing>
      </w:r>
    </w:p>
    <w:p w14:paraId="20EC3269" w14:textId="30589291" w:rsidR="008C2DA0" w:rsidRDefault="008C2DA0" w:rsidP="008C2DA0"/>
    <w:p w14:paraId="160E9F55" w14:textId="57B57694" w:rsidR="008C2DA0" w:rsidRDefault="008C2DA0" w:rsidP="008C2DA0">
      <w:r>
        <w:t>Les constructions annotées « tp » sur la partie graphique « Projet PAP QE Hannert Kirich » doivent respecter les points suivants:</w:t>
      </w:r>
    </w:p>
    <w:p w14:paraId="190BBB89" w14:textId="77777777" w:rsidR="008C2DA0" w:rsidRDefault="008C2DA0" w:rsidP="008C2DA0">
      <w:pPr>
        <w:pStyle w:val="ListParagraph"/>
        <w:numPr>
          <w:ilvl w:val="0"/>
          <w:numId w:val="8"/>
        </w:numPr>
      </w:pPr>
      <w:r>
        <w:t>Elles doivent avoir une toiture plate;</w:t>
      </w:r>
    </w:p>
    <w:p w14:paraId="3CCB75EA" w14:textId="77777777" w:rsidR="008C2DA0" w:rsidRDefault="008C2DA0" w:rsidP="008C2DA0">
      <w:pPr>
        <w:pStyle w:val="ListParagraph"/>
        <w:numPr>
          <w:ilvl w:val="0"/>
          <w:numId w:val="8"/>
        </w:numPr>
      </w:pPr>
      <w:r>
        <w:t>La toiture des constructions destinées au séjour prolongé peuvent être aménagées en toiture végétale ou en toiture terrasse;</w:t>
      </w:r>
    </w:p>
    <w:p w14:paraId="50FB7F0B" w14:textId="647774B0" w:rsidR="008C2DA0" w:rsidRDefault="008C2DA0" w:rsidP="008C2DA0">
      <w:pPr>
        <w:pStyle w:val="ListParagraph"/>
        <w:numPr>
          <w:ilvl w:val="0"/>
          <w:numId w:val="8"/>
        </w:numPr>
      </w:pPr>
      <w:r>
        <w:t>La toiture des dépendances ne peut pas être aménagée en toiture terrasse.</w:t>
      </w:r>
    </w:p>
    <w:p w14:paraId="55C4663E" w14:textId="117222A5" w:rsidR="008C2DA0" w:rsidRDefault="008C2DA0" w:rsidP="008C2DA0">
      <w:pPr>
        <w:pStyle w:val="Heading3"/>
      </w:pPr>
      <w:r>
        <w:t>Art. 19.6.2 Ouverture en toiture et superstructures</w:t>
      </w:r>
    </w:p>
    <w:p w14:paraId="537D855D" w14:textId="23DAF745" w:rsidR="008C2DA0" w:rsidRDefault="008C2DA0" w:rsidP="008C2DA0">
      <w:r w:rsidRPr="008C2DA0">
        <w:t xml:space="preserve">Les ouvertures en toitures et les superstructures doivent respecter les prescriptions communes à tous les quartiers, définies au Titre III. Art. 23. </w:t>
      </w:r>
      <w:r>
        <w:t>« </w:t>
      </w:r>
      <w:r w:rsidRPr="008C2DA0">
        <w:t>Toiture</w:t>
      </w:r>
      <w:r>
        <w:t> »</w:t>
      </w:r>
    </w:p>
    <w:p w14:paraId="224CDF8B" w14:textId="78853B7B" w:rsidR="008C2DA0" w:rsidRDefault="008C2DA0" w:rsidP="008C2DA0">
      <w:pPr>
        <w:pStyle w:val="Heading2"/>
      </w:pPr>
      <w:r>
        <w:lastRenderedPageBreak/>
        <w:t>Art. 19.7 Dépendances</w:t>
      </w:r>
    </w:p>
    <w:p w14:paraId="2A47E4EE" w14:textId="2DE72846" w:rsidR="008C2DA0" w:rsidRDefault="008C2DA0" w:rsidP="008C2DA0">
      <w:pPr>
        <w:pStyle w:val="Heading3"/>
      </w:pPr>
      <w:r>
        <w:t>Art. 19.7.1 Garages et car-ports</w:t>
      </w:r>
    </w:p>
    <w:p w14:paraId="1800C2CC" w14:textId="11181B13" w:rsidR="008C2DA0" w:rsidRDefault="008C2DA0" w:rsidP="008C2DA0">
      <w:r w:rsidRPr="008C2DA0">
        <w:t xml:space="preserve">Les garages et car-ports peuvent être implantés uniquement dans le gabarit maximum autorisé pour les dépendances, tel que défini dans la partie graphique </w:t>
      </w:r>
      <w:r>
        <w:t>« </w:t>
      </w:r>
      <w:r w:rsidRPr="008C2DA0">
        <w:t>Projet PAP QE Hannert Kirich</w:t>
      </w:r>
      <w:r>
        <w:t> »</w:t>
      </w:r>
      <w:r w:rsidRPr="008C2DA0">
        <w:t>.</w:t>
      </w:r>
    </w:p>
    <w:p w14:paraId="64D357C8" w14:textId="43E69471" w:rsidR="008C2DA0" w:rsidRDefault="008C2DA0" w:rsidP="008C2DA0">
      <w:r w:rsidRPr="008C2DA0">
        <w:t>La hauteur totale des garages ne peut pas dépasser 3,50 mètres maximum mesuré au point le plus élevé par rapport au niveau du terrain.</w:t>
      </w:r>
    </w:p>
    <w:p w14:paraId="7FD98ACA" w14:textId="4769DF16" w:rsidR="008C2DA0" w:rsidRDefault="008C2DA0" w:rsidP="008C2DA0">
      <w:pPr>
        <w:pStyle w:val="Heading3"/>
      </w:pPr>
      <w:r>
        <w:t>Art. 19.7.2 Abris de jardins et autres dépendances</w:t>
      </w:r>
    </w:p>
    <w:p w14:paraId="43A02DC7" w14:textId="60A30E2B" w:rsidR="008C2DA0" w:rsidRDefault="008C2DA0" w:rsidP="008C2DA0">
      <w:r w:rsidRPr="008C2DA0">
        <w:t xml:space="preserve">Les abris de jardins et dépendances autres que garages et car-ports doivent respecter les prescriptions communes à tous les quartiers, définies au Titre III. Art. 22. </w:t>
      </w:r>
      <w:r>
        <w:t>« </w:t>
      </w:r>
      <w:r w:rsidRPr="008C2DA0">
        <w:t>Dépendances</w:t>
      </w:r>
      <w:r>
        <w:t> »</w:t>
      </w:r>
      <w:r w:rsidRPr="008C2DA0">
        <w:t>.</w:t>
      </w:r>
    </w:p>
    <w:p w14:paraId="6A63619C" w14:textId="3C6A0018" w:rsidR="008C2DA0" w:rsidRDefault="008C2DA0" w:rsidP="008C2DA0">
      <w:pPr>
        <w:pStyle w:val="Heading2"/>
      </w:pPr>
      <w:r>
        <w:t>Art. 19.8 Emplacements de stationnement en surface et à l’intérieur des constructions</w:t>
      </w:r>
    </w:p>
    <w:p w14:paraId="7E972731" w14:textId="4F2A872E" w:rsidR="008C2DA0" w:rsidRDefault="008C2DA0" w:rsidP="008C2DA0">
      <w:r>
        <w:t>Les stationnements sont interdits à l’arrière des constructions principales (les implantations autorisées ne sont pas spécifiées dans la partie graphique « Projet PAP QE Hannert Kirich »).</w:t>
      </w:r>
    </w:p>
    <w:p w14:paraId="49926B97" w14:textId="2D90E161" w:rsidR="008C2DA0" w:rsidRDefault="008C2DA0" w:rsidP="008C2DA0">
      <w:r>
        <w:t>Les emplacements extérieurs de stationnement doivent être aménagés de manière perméable.</w:t>
      </w:r>
    </w:p>
    <w:p w14:paraId="73253BC3" w14:textId="60372FDC" w:rsidR="008C2DA0" w:rsidRDefault="008C2DA0" w:rsidP="008C2DA0">
      <w:pPr>
        <w:pStyle w:val="Heading2"/>
      </w:pPr>
      <w:r>
        <w:t>Art. 19.9 Nombre d’unités de logements</w:t>
      </w:r>
    </w:p>
    <w:p w14:paraId="4033F026" w14:textId="20995E03" w:rsidR="008C2DA0" w:rsidRDefault="008C2DA0" w:rsidP="008C2DA0">
      <w:r w:rsidRPr="008C2DA0">
        <w:t>Le nombre d’unités de logements maximum admissibles par lots est ind</w:t>
      </w:r>
      <w:r>
        <w:t>iqué dans le tableau ci-dessous</w:t>
      </w:r>
      <w:r w:rsidRPr="008C2DA0">
        <w:t>:</w:t>
      </w:r>
    </w:p>
    <w:tbl>
      <w:tblPr>
        <w:tblStyle w:val="TableGrid"/>
        <w:tblW w:w="0" w:type="auto"/>
        <w:tblInd w:w="3397" w:type="dxa"/>
        <w:tblLook w:val="04A0" w:firstRow="1" w:lastRow="0" w:firstColumn="1" w:lastColumn="0" w:noHBand="0" w:noVBand="1"/>
      </w:tblPr>
      <w:tblGrid>
        <w:gridCol w:w="1111"/>
        <w:gridCol w:w="1724"/>
      </w:tblGrid>
      <w:tr w:rsidR="008C2DA0" w14:paraId="4E036381" w14:textId="77777777" w:rsidTr="00863550">
        <w:trPr>
          <w:trHeight w:val="494"/>
        </w:trPr>
        <w:tc>
          <w:tcPr>
            <w:tcW w:w="1111" w:type="dxa"/>
            <w:shd w:val="clear" w:color="auto" w:fill="BFBFBF" w:themeFill="background1" w:themeFillShade="BF"/>
            <w:vAlign w:val="center"/>
          </w:tcPr>
          <w:p w14:paraId="7CCB2D11" w14:textId="77777777" w:rsidR="008C2DA0" w:rsidRPr="00863550" w:rsidRDefault="008C2DA0" w:rsidP="00863550">
            <w:pPr>
              <w:pStyle w:val="NormalTableau"/>
              <w:jc w:val="center"/>
              <w:rPr>
                <w:b/>
                <w:u w:val="single"/>
              </w:rPr>
            </w:pPr>
          </w:p>
        </w:tc>
        <w:tc>
          <w:tcPr>
            <w:tcW w:w="1724" w:type="dxa"/>
            <w:shd w:val="clear" w:color="auto" w:fill="BFBFBF" w:themeFill="background1" w:themeFillShade="BF"/>
            <w:vAlign w:val="center"/>
          </w:tcPr>
          <w:p w14:paraId="198CEA40" w14:textId="2EA255C4" w:rsidR="008C2DA0" w:rsidRPr="00863550" w:rsidRDefault="008C2DA0" w:rsidP="00863550">
            <w:pPr>
              <w:pStyle w:val="NormalTableau"/>
              <w:jc w:val="center"/>
              <w:rPr>
                <w:b/>
                <w:u w:val="single"/>
              </w:rPr>
            </w:pPr>
            <w:r w:rsidRPr="00863550">
              <w:rPr>
                <w:b/>
                <w:u w:val="single"/>
              </w:rPr>
              <w:t>Nombre d’unités de logement maximum</w:t>
            </w:r>
          </w:p>
        </w:tc>
      </w:tr>
      <w:tr w:rsidR="008C2DA0" w14:paraId="501C48F3" w14:textId="77777777" w:rsidTr="00863550">
        <w:trPr>
          <w:trHeight w:val="227"/>
        </w:trPr>
        <w:tc>
          <w:tcPr>
            <w:tcW w:w="1111" w:type="dxa"/>
            <w:vAlign w:val="center"/>
          </w:tcPr>
          <w:p w14:paraId="730D25ED" w14:textId="4287AB14" w:rsidR="008C2DA0" w:rsidRDefault="008C2DA0" w:rsidP="00863550">
            <w:pPr>
              <w:pStyle w:val="NormalTableau"/>
              <w:jc w:val="center"/>
            </w:pPr>
            <w:r>
              <w:t>Lot 01</w:t>
            </w:r>
          </w:p>
        </w:tc>
        <w:tc>
          <w:tcPr>
            <w:tcW w:w="1724" w:type="dxa"/>
            <w:vAlign w:val="center"/>
          </w:tcPr>
          <w:p w14:paraId="5A74DBAC" w14:textId="1519F86D" w:rsidR="008C2DA0" w:rsidRDefault="008C2DA0" w:rsidP="00863550">
            <w:pPr>
              <w:pStyle w:val="NormalTableau"/>
              <w:jc w:val="center"/>
            </w:pPr>
            <w:r>
              <w:t>1</w:t>
            </w:r>
          </w:p>
        </w:tc>
      </w:tr>
      <w:tr w:rsidR="008C2DA0" w14:paraId="390F2591" w14:textId="77777777" w:rsidTr="00863550">
        <w:trPr>
          <w:trHeight w:val="227"/>
        </w:trPr>
        <w:tc>
          <w:tcPr>
            <w:tcW w:w="1111" w:type="dxa"/>
            <w:vAlign w:val="center"/>
          </w:tcPr>
          <w:p w14:paraId="68276898" w14:textId="45279ABB" w:rsidR="008C2DA0" w:rsidRDefault="008C2DA0" w:rsidP="00863550">
            <w:pPr>
              <w:pStyle w:val="NormalTableau"/>
              <w:jc w:val="center"/>
            </w:pPr>
            <w:r>
              <w:t>Lot 02</w:t>
            </w:r>
          </w:p>
        </w:tc>
        <w:tc>
          <w:tcPr>
            <w:tcW w:w="1724" w:type="dxa"/>
            <w:vAlign w:val="center"/>
          </w:tcPr>
          <w:p w14:paraId="4AE472A6" w14:textId="205C3289" w:rsidR="008C2DA0" w:rsidRDefault="008C2DA0" w:rsidP="00863550">
            <w:pPr>
              <w:pStyle w:val="NormalTableau"/>
              <w:jc w:val="center"/>
            </w:pPr>
            <w:r>
              <w:t>2</w:t>
            </w:r>
          </w:p>
        </w:tc>
      </w:tr>
      <w:tr w:rsidR="008C2DA0" w14:paraId="0CDECC2E" w14:textId="77777777" w:rsidTr="00863550">
        <w:trPr>
          <w:trHeight w:val="227"/>
        </w:trPr>
        <w:tc>
          <w:tcPr>
            <w:tcW w:w="1111" w:type="dxa"/>
            <w:vAlign w:val="center"/>
          </w:tcPr>
          <w:p w14:paraId="15210EA9" w14:textId="7B2BE600" w:rsidR="008C2DA0" w:rsidRDefault="008C2DA0" w:rsidP="00863550">
            <w:pPr>
              <w:pStyle w:val="NormalTableau"/>
              <w:jc w:val="center"/>
            </w:pPr>
            <w:r>
              <w:t>Lot 03</w:t>
            </w:r>
          </w:p>
        </w:tc>
        <w:tc>
          <w:tcPr>
            <w:tcW w:w="1724" w:type="dxa"/>
            <w:vAlign w:val="center"/>
          </w:tcPr>
          <w:p w14:paraId="303C1AD9" w14:textId="0C0B6972" w:rsidR="008C2DA0" w:rsidRDefault="008C2DA0" w:rsidP="00863550">
            <w:pPr>
              <w:pStyle w:val="NormalTableau"/>
              <w:jc w:val="center"/>
            </w:pPr>
            <w:r>
              <w:t>2</w:t>
            </w:r>
          </w:p>
        </w:tc>
      </w:tr>
      <w:tr w:rsidR="008C2DA0" w14:paraId="716EE2CA" w14:textId="77777777" w:rsidTr="00863550">
        <w:trPr>
          <w:trHeight w:val="227"/>
        </w:trPr>
        <w:tc>
          <w:tcPr>
            <w:tcW w:w="1111" w:type="dxa"/>
            <w:vAlign w:val="center"/>
          </w:tcPr>
          <w:p w14:paraId="5A4BAFEA" w14:textId="7F3F9584" w:rsidR="008C2DA0" w:rsidRDefault="008C2DA0" w:rsidP="00863550">
            <w:pPr>
              <w:pStyle w:val="NormalTableau"/>
              <w:jc w:val="center"/>
            </w:pPr>
            <w:r>
              <w:t>Lot 04</w:t>
            </w:r>
          </w:p>
        </w:tc>
        <w:tc>
          <w:tcPr>
            <w:tcW w:w="1724" w:type="dxa"/>
            <w:vAlign w:val="center"/>
          </w:tcPr>
          <w:p w14:paraId="24A88E7C" w14:textId="2CD8EC51" w:rsidR="008C2DA0" w:rsidRDefault="008C2DA0" w:rsidP="00863550">
            <w:pPr>
              <w:pStyle w:val="NormalTableau"/>
              <w:jc w:val="center"/>
            </w:pPr>
            <w:r>
              <w:t>1</w:t>
            </w:r>
          </w:p>
        </w:tc>
      </w:tr>
      <w:tr w:rsidR="008C2DA0" w14:paraId="352B5E66" w14:textId="77777777" w:rsidTr="00863550">
        <w:trPr>
          <w:trHeight w:val="227"/>
        </w:trPr>
        <w:tc>
          <w:tcPr>
            <w:tcW w:w="1111" w:type="dxa"/>
            <w:vAlign w:val="center"/>
          </w:tcPr>
          <w:p w14:paraId="1B4D3B6B" w14:textId="4BF1C4DC" w:rsidR="008C2DA0" w:rsidRDefault="008C2DA0" w:rsidP="00863550">
            <w:pPr>
              <w:pStyle w:val="NormalTableau"/>
              <w:jc w:val="center"/>
            </w:pPr>
            <w:r>
              <w:t>Lot 05</w:t>
            </w:r>
          </w:p>
        </w:tc>
        <w:tc>
          <w:tcPr>
            <w:tcW w:w="1724" w:type="dxa"/>
            <w:vAlign w:val="center"/>
          </w:tcPr>
          <w:p w14:paraId="7CED42DF" w14:textId="18EEB838" w:rsidR="008C2DA0" w:rsidRDefault="008C2DA0" w:rsidP="00863550">
            <w:pPr>
              <w:pStyle w:val="NormalTableau"/>
              <w:jc w:val="center"/>
            </w:pPr>
            <w:r>
              <w:t>2</w:t>
            </w:r>
          </w:p>
        </w:tc>
      </w:tr>
    </w:tbl>
    <w:p w14:paraId="36B84A9E" w14:textId="2C6B5693" w:rsidR="008C2DA0" w:rsidRDefault="008C2DA0" w:rsidP="008C2DA0"/>
    <w:p w14:paraId="2CE521DE" w14:textId="3B774E35" w:rsidR="00863550" w:rsidRDefault="00863550" w:rsidP="00863550">
      <w:pPr>
        <w:pStyle w:val="Heading2"/>
      </w:pPr>
      <w:r>
        <w:t>Art. 19.10 Aménagement extérieurs</w:t>
      </w:r>
    </w:p>
    <w:p w14:paraId="6B001F24" w14:textId="41A64553" w:rsidR="00863550" w:rsidRDefault="00863550" w:rsidP="00863550">
      <w:pPr>
        <w:pStyle w:val="Heading3"/>
      </w:pPr>
      <w:r>
        <w:t>Art. 19.10.1 Surface scellée et jardin</w:t>
      </w:r>
    </w:p>
    <w:p w14:paraId="78F6B488" w14:textId="77777777" w:rsidR="00863550" w:rsidRDefault="00863550" w:rsidP="00863550">
      <w:r>
        <w:t>Dans l’emprise du quartier existant, la surface scellée par parcelle ne peut pas être supérieure à 45%.</w:t>
      </w:r>
    </w:p>
    <w:p w14:paraId="2B78B37A" w14:textId="30F78C5C" w:rsidR="00863550" w:rsidRDefault="00863550" w:rsidP="00863550">
      <w:r>
        <w:t>L’espace extérieur pouvant être scellé tel que représenté sur la partie graphique « Projet PAP QE Hannert Kirich » peut être modifié selon le projet d’architecture sans dépasser la surface de scellement du sol définie par le présent article.</w:t>
      </w:r>
    </w:p>
    <w:p w14:paraId="508A22B7" w14:textId="77777777" w:rsidR="00863550" w:rsidRDefault="00863550" w:rsidP="00863550">
      <w:r>
        <w:t>Les surfaces non scellées doivent être aménagées comme jardin rural typique (gazon, prairie, potager, zones fleuries, verger). Les jardins minéraux sont interdits.</w:t>
      </w:r>
    </w:p>
    <w:p w14:paraId="22BE5E97" w14:textId="23D061BE" w:rsidR="00863550" w:rsidRDefault="00863550" w:rsidP="00863550">
      <w:r>
        <w:t>Les plantations à prévoir doivent être typique de la région.</w:t>
      </w:r>
    </w:p>
    <w:p w14:paraId="0C4271F8" w14:textId="325FE00A" w:rsidR="00863550" w:rsidRDefault="00863550" w:rsidP="00863550">
      <w:pPr>
        <w:pStyle w:val="Heading3"/>
      </w:pPr>
      <w:r>
        <w:lastRenderedPageBreak/>
        <w:t>Art. 19.10.2 Clôtures</w:t>
      </w:r>
    </w:p>
    <w:p w14:paraId="73DCBDC8" w14:textId="77777777" w:rsidR="00863550" w:rsidRDefault="00863550" w:rsidP="00863550">
      <w:r>
        <w:t>Les espaces libres à l’avant des constructions ne peuvent pas être clôturés (voir partie graphique).</w:t>
      </w:r>
    </w:p>
    <w:p w14:paraId="2322B9D9" w14:textId="49CFF092" w:rsidR="00863550" w:rsidRDefault="00863550" w:rsidP="00863550">
      <w:r>
        <w:t>La composition des essences végétales pour les haies doit uniquement comprendre des arbres et/ou arbustes indigènes.</w:t>
      </w:r>
    </w:p>
    <w:p w14:paraId="494CE9FB" w14:textId="2A064BCA" w:rsidR="00863550" w:rsidRDefault="00863550" w:rsidP="00863550">
      <w:pPr>
        <w:pStyle w:val="Heading3"/>
      </w:pPr>
      <w:r>
        <w:t>Art. 19.10.3 Modelage de terrain et mur de soutènement</w:t>
      </w:r>
    </w:p>
    <w:p w14:paraId="673B6C01" w14:textId="77777777" w:rsidR="00863550" w:rsidRDefault="00863550" w:rsidP="00863550">
      <w:r>
        <w:t>Les modelages de terrain sont interdits dans une bande de 2,00 m de large le long des limites parcellaires latérales et arrières, sauf pour les modelages de terrain réalisés en commun entre voisins.</w:t>
      </w:r>
    </w:p>
    <w:p w14:paraId="6DAB6257" w14:textId="77777777" w:rsidR="00863550" w:rsidRDefault="00863550" w:rsidP="00863550">
      <w:r>
        <w:t>Les déblais et les remblais ne doivent pas dépasser 1,50 m de haut par rapport au terrain naturel.</w:t>
      </w:r>
    </w:p>
    <w:p w14:paraId="62E886BC" w14:textId="77777777" w:rsidR="00863550" w:rsidRDefault="00863550" w:rsidP="00863550">
      <w:r>
        <w:t>Les murs de soutènement ne doivent pas dépasser 1,50 m de hauteur et doivent être réalisés en pierres naturelles de la région ou similaires, sauf pour la limite entre le Presbytère et le lot 01. Sont également autorisés, les murs de soutènement réalisés en gabions composés de pierres de teinte similaire à celles de la pierre de région.</w:t>
      </w:r>
    </w:p>
    <w:p w14:paraId="0D85C021" w14:textId="77777777" w:rsidR="00863550" w:rsidRDefault="00863550" w:rsidP="00863550">
      <w:r>
        <w:t>Pour la construction du lot 01, la destruction partielle du mur des Presbytères est nécessaire. Les pierres prises doivent être conservées et utilisées pour la préparation du mur de soutènement qui sépare le Presbytère et le lot 01.</w:t>
      </w:r>
    </w:p>
    <w:p w14:paraId="4E963D8D" w14:textId="5F285FB1" w:rsidR="00863550" w:rsidRPr="00863550" w:rsidRDefault="00863550" w:rsidP="00863550">
      <w:r>
        <w:t>Les murs de soutènement peuvent être interrompus par des escaliers extérieurs.</w:t>
      </w:r>
    </w:p>
    <w:sectPr w:rsidR="00863550" w:rsidRPr="008635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E4565F"/>
    <w:multiLevelType w:val="hybridMultilevel"/>
    <w:tmpl w:val="95F0C58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C703F0"/>
    <w:multiLevelType w:val="hybridMultilevel"/>
    <w:tmpl w:val="86F84C6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63550"/>
    <w:rsid w:val="008A46DB"/>
    <w:rsid w:val="008C2DA0"/>
    <w:rsid w:val="008F7D49"/>
    <w:rsid w:val="009D6555"/>
    <w:rsid w:val="00A610F9"/>
    <w:rsid w:val="00A867ED"/>
    <w:rsid w:val="00AD5B20"/>
    <w:rsid w:val="00B11E93"/>
    <w:rsid w:val="00B208F3"/>
    <w:rsid w:val="00B96399"/>
    <w:rsid w:val="00C10C63"/>
    <w:rsid w:val="00C85115"/>
    <w:rsid w:val="00CB2FE8"/>
    <w:rsid w:val="00CF3132"/>
    <w:rsid w:val="00D35FE3"/>
    <w:rsid w:val="00D55619"/>
    <w:rsid w:val="00E9348C"/>
    <w:rsid w:val="00EA7952"/>
    <w:rsid w:val="00EB23F4"/>
    <w:rsid w:val="00F1353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E93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1478</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2024-03-08T05:48:00Z</dcterms:modified>
</cp:coreProperties>
</file>