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D41C2" w14:textId="4322801A" w:rsidR="000E7A5D" w:rsidRPr="000E7A5D" w:rsidRDefault="00EF1714" w:rsidP="000E7A5D">
      <w:pPr>
        <w:pStyle w:val="Heading1"/>
      </w:pPr>
      <w:r>
        <w:t>Art. 11 Quartier existant ECO-c1 – Artisanat</w:t>
      </w:r>
      <w:bookmarkStart w:id="0" w:name="_GoBack"/>
      <w:bookmarkEnd w:id="0"/>
    </w:p>
    <w:p w14:paraId="38FDEE07" w14:textId="1F4AF0B9" w:rsidR="006605E2" w:rsidRDefault="00EF1714" w:rsidP="00EF1714">
      <w:r>
        <w:t>Prescriptions pour le quartier ECO-c1 - Artisanat à titre récapitulatif et non exhaustif:</w:t>
      </w:r>
    </w:p>
    <w:tbl>
      <w:tblPr>
        <w:tblStyle w:val="TableGrid"/>
        <w:tblW w:w="0" w:type="auto"/>
        <w:tblLook w:val="04A0" w:firstRow="1" w:lastRow="0" w:firstColumn="1" w:lastColumn="0" w:noHBand="0" w:noVBand="1"/>
      </w:tblPr>
      <w:tblGrid>
        <w:gridCol w:w="1555"/>
        <w:gridCol w:w="1417"/>
        <w:gridCol w:w="6044"/>
      </w:tblGrid>
      <w:tr w:rsidR="00EF1714" w14:paraId="6926992B" w14:textId="77777777" w:rsidTr="00F32BF1">
        <w:trPr>
          <w:trHeight w:val="318"/>
        </w:trPr>
        <w:tc>
          <w:tcPr>
            <w:tcW w:w="2972" w:type="dxa"/>
            <w:gridSpan w:val="2"/>
            <w:shd w:val="clear" w:color="auto" w:fill="BFBFBF" w:themeFill="background1" w:themeFillShade="BF"/>
            <w:vAlign w:val="center"/>
          </w:tcPr>
          <w:p w14:paraId="1EB981EA" w14:textId="77777777" w:rsidR="00EF1714" w:rsidRPr="00B10B8B" w:rsidRDefault="00EF1714" w:rsidP="00F32BF1">
            <w:pPr>
              <w:pStyle w:val="NormalTableau"/>
              <w:jc w:val="center"/>
              <w:rPr>
                <w:b/>
                <w:u w:val="single"/>
              </w:rPr>
            </w:pPr>
            <w:r w:rsidRPr="00B10B8B">
              <w:rPr>
                <w:b/>
                <w:u w:val="single"/>
              </w:rPr>
              <w:t>Type de prescription</w:t>
            </w:r>
          </w:p>
        </w:tc>
        <w:tc>
          <w:tcPr>
            <w:tcW w:w="6044" w:type="dxa"/>
            <w:shd w:val="clear" w:color="auto" w:fill="BFBFBF" w:themeFill="background1" w:themeFillShade="BF"/>
            <w:vAlign w:val="center"/>
          </w:tcPr>
          <w:p w14:paraId="4DB9BA22" w14:textId="5169213C" w:rsidR="00EF1714" w:rsidRPr="00B10B8B" w:rsidRDefault="00EF1714" w:rsidP="00EF1714">
            <w:pPr>
              <w:pStyle w:val="NormalTableau"/>
              <w:jc w:val="center"/>
              <w:rPr>
                <w:b/>
                <w:u w:val="single"/>
              </w:rPr>
            </w:pPr>
            <w:r w:rsidRPr="00B10B8B">
              <w:rPr>
                <w:b/>
                <w:u w:val="single"/>
              </w:rPr>
              <w:t xml:space="preserve">Prescriptions pour le quartier </w:t>
            </w:r>
            <w:r>
              <w:rPr>
                <w:b/>
                <w:u w:val="single"/>
              </w:rPr>
              <w:t>ECO-c1 - Artisanat</w:t>
            </w:r>
          </w:p>
        </w:tc>
      </w:tr>
      <w:tr w:rsidR="00EF1714" w14:paraId="5FAE3D44" w14:textId="77777777" w:rsidTr="00F32BF1">
        <w:trPr>
          <w:trHeight w:val="397"/>
        </w:trPr>
        <w:tc>
          <w:tcPr>
            <w:tcW w:w="1555" w:type="dxa"/>
            <w:vMerge w:val="restart"/>
            <w:vAlign w:val="center"/>
          </w:tcPr>
          <w:p w14:paraId="01B95EAC" w14:textId="77777777" w:rsidR="00EF1714" w:rsidRDefault="00EF1714" w:rsidP="00F32BF1">
            <w:pPr>
              <w:pStyle w:val="NormalTableau"/>
              <w:jc w:val="left"/>
            </w:pPr>
            <w:r w:rsidRPr="00B10B8B">
              <w:t>Reculs des constructions par rapport aux limites du terrain à bâtir net</w:t>
            </w:r>
          </w:p>
        </w:tc>
        <w:tc>
          <w:tcPr>
            <w:tcW w:w="1417" w:type="dxa"/>
            <w:vAlign w:val="center"/>
          </w:tcPr>
          <w:p w14:paraId="3F71AF52" w14:textId="77777777" w:rsidR="00EF1714" w:rsidRDefault="00EF1714" w:rsidP="00F32BF1">
            <w:pPr>
              <w:pStyle w:val="NormalTableau"/>
              <w:jc w:val="left"/>
            </w:pPr>
            <w:r w:rsidRPr="00B10B8B">
              <w:t>Avant</w:t>
            </w:r>
          </w:p>
        </w:tc>
        <w:tc>
          <w:tcPr>
            <w:tcW w:w="6044" w:type="dxa"/>
            <w:vAlign w:val="center"/>
          </w:tcPr>
          <w:p w14:paraId="7E10A59C" w14:textId="55AD3BAA" w:rsidR="00EF1714" w:rsidRDefault="00EF1714" w:rsidP="00F32BF1">
            <w:pPr>
              <w:pStyle w:val="NormalTableau"/>
              <w:jc w:val="left"/>
            </w:pPr>
            <w:r w:rsidRPr="00EF1714">
              <w:t>Min 5,00 m</w:t>
            </w:r>
          </w:p>
        </w:tc>
      </w:tr>
      <w:tr w:rsidR="00EF1714" w14:paraId="3644621C" w14:textId="77777777" w:rsidTr="00F32BF1">
        <w:trPr>
          <w:trHeight w:val="397"/>
        </w:trPr>
        <w:tc>
          <w:tcPr>
            <w:tcW w:w="1555" w:type="dxa"/>
            <w:vMerge/>
            <w:vAlign w:val="center"/>
          </w:tcPr>
          <w:p w14:paraId="3A71539D" w14:textId="77777777" w:rsidR="00EF1714" w:rsidRDefault="00EF1714" w:rsidP="00F32BF1">
            <w:pPr>
              <w:pStyle w:val="NormalTableau"/>
              <w:jc w:val="left"/>
            </w:pPr>
          </w:p>
        </w:tc>
        <w:tc>
          <w:tcPr>
            <w:tcW w:w="1417" w:type="dxa"/>
            <w:vAlign w:val="center"/>
          </w:tcPr>
          <w:p w14:paraId="28A175D1" w14:textId="77777777" w:rsidR="00EF1714" w:rsidRDefault="00EF1714" w:rsidP="00F32BF1">
            <w:pPr>
              <w:pStyle w:val="NormalTableau"/>
              <w:jc w:val="left"/>
            </w:pPr>
            <w:r w:rsidRPr="00B10B8B">
              <w:t>Latéral</w:t>
            </w:r>
          </w:p>
        </w:tc>
        <w:tc>
          <w:tcPr>
            <w:tcW w:w="6044" w:type="dxa"/>
            <w:vAlign w:val="center"/>
          </w:tcPr>
          <w:p w14:paraId="6DCEEC19" w14:textId="5753C935" w:rsidR="00EF1714" w:rsidRDefault="00EF1714" w:rsidP="00F32BF1">
            <w:pPr>
              <w:pStyle w:val="NormalTableau"/>
              <w:jc w:val="left"/>
            </w:pPr>
            <w:r w:rsidRPr="00EF1714">
              <w:t>Min 3,00 m</w:t>
            </w:r>
          </w:p>
        </w:tc>
      </w:tr>
      <w:tr w:rsidR="00EF1714" w14:paraId="31AEB842" w14:textId="77777777" w:rsidTr="00F32BF1">
        <w:trPr>
          <w:trHeight w:val="397"/>
        </w:trPr>
        <w:tc>
          <w:tcPr>
            <w:tcW w:w="1555" w:type="dxa"/>
            <w:vMerge/>
            <w:vAlign w:val="center"/>
          </w:tcPr>
          <w:p w14:paraId="78749CB7" w14:textId="77777777" w:rsidR="00EF1714" w:rsidRDefault="00EF1714" w:rsidP="00F32BF1">
            <w:pPr>
              <w:pStyle w:val="NormalTableau"/>
              <w:jc w:val="left"/>
            </w:pPr>
          </w:p>
        </w:tc>
        <w:tc>
          <w:tcPr>
            <w:tcW w:w="1417" w:type="dxa"/>
            <w:vAlign w:val="center"/>
          </w:tcPr>
          <w:p w14:paraId="2CAD22CD" w14:textId="77777777" w:rsidR="00EF1714" w:rsidRDefault="00EF1714" w:rsidP="00F32BF1">
            <w:pPr>
              <w:pStyle w:val="NormalTableau"/>
              <w:jc w:val="left"/>
            </w:pPr>
            <w:r w:rsidRPr="00B10B8B">
              <w:t>Arrière</w:t>
            </w:r>
          </w:p>
        </w:tc>
        <w:tc>
          <w:tcPr>
            <w:tcW w:w="6044" w:type="dxa"/>
            <w:vAlign w:val="center"/>
          </w:tcPr>
          <w:p w14:paraId="091CD1F1" w14:textId="6B65CEDC" w:rsidR="00EF1714" w:rsidRDefault="00EF1714" w:rsidP="00F32BF1">
            <w:pPr>
              <w:pStyle w:val="NormalTableau"/>
              <w:jc w:val="left"/>
            </w:pPr>
            <w:r w:rsidRPr="00EF1714">
              <w:t>Min 5,00 m</w:t>
            </w:r>
          </w:p>
        </w:tc>
      </w:tr>
      <w:tr w:rsidR="00EF1714" w14:paraId="6C717BFF" w14:textId="77777777" w:rsidTr="00F32BF1">
        <w:trPr>
          <w:trHeight w:val="397"/>
        </w:trPr>
        <w:tc>
          <w:tcPr>
            <w:tcW w:w="1555" w:type="dxa"/>
            <w:vMerge w:val="restart"/>
            <w:vAlign w:val="center"/>
          </w:tcPr>
          <w:p w14:paraId="16DF8E2D" w14:textId="77777777" w:rsidR="00EF1714" w:rsidRDefault="00EF1714" w:rsidP="00F32BF1">
            <w:pPr>
              <w:pStyle w:val="NormalTableau"/>
              <w:jc w:val="left"/>
            </w:pPr>
            <w:r w:rsidRPr="00B10B8B">
              <w:t>Type et implantation des constructions hors sol et sous-sol</w:t>
            </w:r>
          </w:p>
        </w:tc>
        <w:tc>
          <w:tcPr>
            <w:tcW w:w="1417" w:type="dxa"/>
            <w:vAlign w:val="center"/>
          </w:tcPr>
          <w:p w14:paraId="195E11CB" w14:textId="77777777" w:rsidR="00EF1714" w:rsidRDefault="00EF1714" w:rsidP="00F32BF1">
            <w:pPr>
              <w:pStyle w:val="NormalTableau"/>
              <w:jc w:val="left"/>
            </w:pPr>
            <w:r w:rsidRPr="00B10B8B">
              <w:t>Type de construction</w:t>
            </w:r>
          </w:p>
        </w:tc>
        <w:tc>
          <w:tcPr>
            <w:tcW w:w="6044" w:type="dxa"/>
            <w:vAlign w:val="center"/>
          </w:tcPr>
          <w:p w14:paraId="48DD4A20" w14:textId="77777777" w:rsidR="00EF1714" w:rsidRDefault="00EF1714" w:rsidP="00F32BF1">
            <w:pPr>
              <w:pStyle w:val="NormalTableau"/>
              <w:jc w:val="left"/>
            </w:pPr>
            <w:r w:rsidRPr="00B10B8B">
              <w:t>Isolées ou groupées</w:t>
            </w:r>
          </w:p>
        </w:tc>
      </w:tr>
      <w:tr w:rsidR="00EF1714" w14:paraId="210A7A49" w14:textId="77777777" w:rsidTr="00F32BF1">
        <w:trPr>
          <w:trHeight w:val="397"/>
        </w:trPr>
        <w:tc>
          <w:tcPr>
            <w:tcW w:w="1555" w:type="dxa"/>
            <w:vMerge/>
            <w:vAlign w:val="center"/>
          </w:tcPr>
          <w:p w14:paraId="58AEE5B0" w14:textId="77777777" w:rsidR="00EF1714" w:rsidRDefault="00EF1714" w:rsidP="00F32BF1">
            <w:pPr>
              <w:pStyle w:val="NormalTableau"/>
              <w:jc w:val="left"/>
            </w:pPr>
          </w:p>
        </w:tc>
        <w:tc>
          <w:tcPr>
            <w:tcW w:w="1417" w:type="dxa"/>
            <w:vAlign w:val="center"/>
          </w:tcPr>
          <w:p w14:paraId="48AE7B1C" w14:textId="77777777" w:rsidR="00EF1714" w:rsidRDefault="00EF1714" w:rsidP="00F32BF1">
            <w:pPr>
              <w:pStyle w:val="NormalTableau"/>
              <w:jc w:val="left"/>
            </w:pPr>
            <w:r w:rsidRPr="00B10B8B">
              <w:t>Bande de construction</w:t>
            </w:r>
          </w:p>
        </w:tc>
        <w:tc>
          <w:tcPr>
            <w:tcW w:w="6044" w:type="dxa"/>
            <w:vAlign w:val="center"/>
          </w:tcPr>
          <w:p w14:paraId="68B5C9C5" w14:textId="09B7A4E1" w:rsidR="00EF1714" w:rsidRDefault="00EF1714" w:rsidP="00F32BF1">
            <w:pPr>
              <w:pStyle w:val="NormalTableau"/>
              <w:jc w:val="left"/>
            </w:pPr>
            <w:r w:rsidRPr="00EF1714">
              <w:t>En fonction des besoins</w:t>
            </w:r>
          </w:p>
        </w:tc>
      </w:tr>
      <w:tr w:rsidR="00EF1714" w14:paraId="47B61700" w14:textId="77777777" w:rsidTr="00EF1714">
        <w:trPr>
          <w:trHeight w:val="493"/>
        </w:trPr>
        <w:tc>
          <w:tcPr>
            <w:tcW w:w="1555" w:type="dxa"/>
            <w:vMerge/>
            <w:vAlign w:val="center"/>
          </w:tcPr>
          <w:p w14:paraId="2A0215B1" w14:textId="77777777" w:rsidR="00EF1714" w:rsidRDefault="00EF1714" w:rsidP="00F32BF1">
            <w:pPr>
              <w:pStyle w:val="NormalTableau"/>
              <w:jc w:val="left"/>
            </w:pPr>
          </w:p>
        </w:tc>
        <w:tc>
          <w:tcPr>
            <w:tcW w:w="1417" w:type="dxa"/>
            <w:vAlign w:val="center"/>
          </w:tcPr>
          <w:p w14:paraId="2D06F29B" w14:textId="77777777" w:rsidR="00EF1714" w:rsidRDefault="00EF1714" w:rsidP="00F32BF1">
            <w:pPr>
              <w:pStyle w:val="NormalTableau"/>
              <w:jc w:val="left"/>
            </w:pPr>
            <w:r w:rsidRPr="00B10B8B">
              <w:t>Profondeur des constructions</w:t>
            </w:r>
          </w:p>
        </w:tc>
        <w:tc>
          <w:tcPr>
            <w:tcW w:w="6044" w:type="dxa"/>
            <w:vAlign w:val="center"/>
          </w:tcPr>
          <w:p w14:paraId="2CEE2960" w14:textId="586C1D9A" w:rsidR="00EF1714" w:rsidRDefault="00EF1714" w:rsidP="00F32BF1">
            <w:pPr>
              <w:pStyle w:val="NormalTableau"/>
              <w:jc w:val="left"/>
            </w:pPr>
            <w:r w:rsidRPr="00EF1714">
              <w:t>En fonction des besoins</w:t>
            </w:r>
          </w:p>
        </w:tc>
      </w:tr>
      <w:tr w:rsidR="00EF1714" w14:paraId="49B3C5B5" w14:textId="77777777" w:rsidTr="002D6E3B">
        <w:trPr>
          <w:trHeight w:val="699"/>
        </w:trPr>
        <w:tc>
          <w:tcPr>
            <w:tcW w:w="2972" w:type="dxa"/>
            <w:gridSpan w:val="2"/>
            <w:vAlign w:val="center"/>
          </w:tcPr>
          <w:p w14:paraId="2F9D2DA6" w14:textId="77777777" w:rsidR="00EF1714" w:rsidRDefault="00EF1714" w:rsidP="00F32BF1">
            <w:pPr>
              <w:pStyle w:val="NormalTableau"/>
              <w:jc w:val="left"/>
            </w:pPr>
            <w:r w:rsidRPr="00B10B8B">
              <w:t>Nombre de niveaux</w:t>
            </w:r>
          </w:p>
        </w:tc>
        <w:tc>
          <w:tcPr>
            <w:tcW w:w="6044" w:type="dxa"/>
            <w:vAlign w:val="center"/>
          </w:tcPr>
          <w:p w14:paraId="541FB7EE" w14:textId="77777777" w:rsidR="00EF1714" w:rsidRDefault="00EF1714" w:rsidP="00EF1714">
            <w:pPr>
              <w:pStyle w:val="NormalTableau"/>
              <w:jc w:val="left"/>
            </w:pPr>
            <w:r>
              <w:t>Max 2 niveaux pleins</w:t>
            </w:r>
          </w:p>
          <w:p w14:paraId="5FE00F1C" w14:textId="77777777" w:rsidR="00EF1714" w:rsidRDefault="00EF1714" w:rsidP="00EF1714">
            <w:pPr>
              <w:pStyle w:val="NormalTableau"/>
              <w:jc w:val="left"/>
            </w:pPr>
            <w:r>
              <w:t>+1 niveau sous comble aménagé ou étage en retrait</w:t>
            </w:r>
          </w:p>
          <w:p w14:paraId="223E4397" w14:textId="31B0835C" w:rsidR="00EF1714" w:rsidRDefault="00EF1714" w:rsidP="00EF1714">
            <w:pPr>
              <w:pStyle w:val="NormalTableau"/>
              <w:jc w:val="left"/>
            </w:pPr>
            <w:r>
              <w:t>Pas de niveau en sous-sol</w:t>
            </w:r>
          </w:p>
        </w:tc>
      </w:tr>
      <w:tr w:rsidR="00EF1714" w14:paraId="554509EA" w14:textId="77777777" w:rsidTr="00EF1714">
        <w:trPr>
          <w:trHeight w:val="425"/>
        </w:trPr>
        <w:tc>
          <w:tcPr>
            <w:tcW w:w="2972" w:type="dxa"/>
            <w:gridSpan w:val="2"/>
            <w:vAlign w:val="center"/>
          </w:tcPr>
          <w:p w14:paraId="77A06D1F" w14:textId="111BB255" w:rsidR="00EF1714" w:rsidRDefault="00EF1714" w:rsidP="00F32BF1">
            <w:pPr>
              <w:pStyle w:val="NormalTableau"/>
              <w:jc w:val="left"/>
            </w:pPr>
            <w:r w:rsidRPr="00B10B8B">
              <w:t>Hauteur des constructions</w:t>
            </w:r>
          </w:p>
        </w:tc>
        <w:tc>
          <w:tcPr>
            <w:tcW w:w="6044" w:type="dxa"/>
            <w:vAlign w:val="center"/>
          </w:tcPr>
          <w:p w14:paraId="1FE5FDC4" w14:textId="50B97113" w:rsidR="00EF1714" w:rsidRDefault="00EF1714" w:rsidP="00F32BF1">
            <w:pPr>
              <w:pStyle w:val="NormalTableau"/>
              <w:jc w:val="left"/>
            </w:pPr>
            <w:r w:rsidRPr="00EF1714">
              <w:t>Max 10,00 m</w:t>
            </w:r>
          </w:p>
        </w:tc>
      </w:tr>
      <w:tr w:rsidR="00EF1714" w14:paraId="154AEE62" w14:textId="77777777" w:rsidTr="00F32BF1">
        <w:trPr>
          <w:trHeight w:val="397"/>
        </w:trPr>
        <w:tc>
          <w:tcPr>
            <w:tcW w:w="2972" w:type="dxa"/>
            <w:gridSpan w:val="2"/>
            <w:vAlign w:val="center"/>
          </w:tcPr>
          <w:p w14:paraId="07F034AE" w14:textId="77777777" w:rsidR="00EF1714" w:rsidRDefault="00EF1714" w:rsidP="00F32BF1">
            <w:pPr>
              <w:pStyle w:val="NormalTableau"/>
              <w:jc w:val="left"/>
            </w:pPr>
            <w:r w:rsidRPr="00B10B8B">
              <w:t>Nombre d’unités de logement</w:t>
            </w:r>
          </w:p>
        </w:tc>
        <w:tc>
          <w:tcPr>
            <w:tcW w:w="6044" w:type="dxa"/>
            <w:vAlign w:val="center"/>
          </w:tcPr>
          <w:p w14:paraId="25219B2E" w14:textId="4C0EE897" w:rsidR="00EF1714" w:rsidRDefault="00EF1714" w:rsidP="00F32BF1">
            <w:pPr>
              <w:pStyle w:val="NormalTableau"/>
              <w:jc w:val="left"/>
            </w:pPr>
            <w:r w:rsidRPr="00EF1714">
              <w:t>Max 1 logement de service</w:t>
            </w:r>
          </w:p>
        </w:tc>
      </w:tr>
      <w:tr w:rsidR="00EF1714" w14:paraId="22FEFAF7" w14:textId="77777777" w:rsidTr="00EF1714">
        <w:trPr>
          <w:trHeight w:val="437"/>
        </w:trPr>
        <w:tc>
          <w:tcPr>
            <w:tcW w:w="2972" w:type="dxa"/>
            <w:gridSpan w:val="2"/>
            <w:vAlign w:val="center"/>
          </w:tcPr>
          <w:p w14:paraId="1FD3002F" w14:textId="77777777" w:rsidR="00EF1714" w:rsidRDefault="00EF1714" w:rsidP="00F32BF1">
            <w:pPr>
              <w:pStyle w:val="NormalTableau"/>
              <w:jc w:val="left"/>
            </w:pPr>
            <w:r w:rsidRPr="00B10B8B">
              <w:t>Espace libre des parcelles</w:t>
            </w:r>
          </w:p>
        </w:tc>
        <w:tc>
          <w:tcPr>
            <w:tcW w:w="6044" w:type="dxa"/>
            <w:vAlign w:val="center"/>
          </w:tcPr>
          <w:p w14:paraId="667E69AA" w14:textId="77777777" w:rsidR="00EF1714" w:rsidRDefault="00EF1714" w:rsidP="00EF1714">
            <w:pPr>
              <w:pStyle w:val="NormalTableau"/>
              <w:jc w:val="left"/>
            </w:pPr>
            <w:r>
              <w:t>Max.40 % d’emprise au sol pour les constructions</w:t>
            </w:r>
          </w:p>
          <w:p w14:paraId="7CBABD59" w14:textId="1AA88AA8" w:rsidR="00EF1714" w:rsidRDefault="00EF1714" w:rsidP="00EF1714">
            <w:pPr>
              <w:pStyle w:val="NormalTableau"/>
              <w:jc w:val="left"/>
            </w:pPr>
            <w:r>
              <w:t>Min 10% à réserver à la plantation d’espèces locales</w:t>
            </w:r>
          </w:p>
        </w:tc>
      </w:tr>
    </w:tbl>
    <w:p w14:paraId="19019D82" w14:textId="26A19F75" w:rsidR="00EF1714" w:rsidRDefault="00EF1714" w:rsidP="00EF1714"/>
    <w:p w14:paraId="216F129D" w14:textId="6FE1E606" w:rsidR="00EF1714" w:rsidRDefault="00EF1714" w:rsidP="00EF1714">
      <w:pPr>
        <w:pStyle w:val="Heading2"/>
      </w:pPr>
      <w:r>
        <w:t>Art. 11.1 Reculs des constructions par rapport aux limites du terrain à bâtir net</w:t>
      </w:r>
    </w:p>
    <w:p w14:paraId="48426938" w14:textId="4D20B18F" w:rsidR="00EF1714" w:rsidRDefault="00EF1714" w:rsidP="00EF1714">
      <w:pPr>
        <w:pStyle w:val="Heading3"/>
      </w:pPr>
      <w:r>
        <w:t>Art. 11.1.1 Recul avant</w:t>
      </w:r>
    </w:p>
    <w:p w14:paraId="7A488A98" w14:textId="682D186C" w:rsidR="00EF1714" w:rsidRDefault="00EF1714" w:rsidP="00EF1714">
      <w:r w:rsidRPr="00EF1714">
        <w:t>Toute construction doit être implantée avec un recul avant de 5,00 m minimum.</w:t>
      </w:r>
    </w:p>
    <w:p w14:paraId="250ECE7D" w14:textId="42F1468B" w:rsidR="00EF1714" w:rsidRDefault="00EF1714" w:rsidP="00EF1714">
      <w:pPr>
        <w:jc w:val="center"/>
      </w:pPr>
      <w:r>
        <w:rPr>
          <w:noProof/>
          <w:lang w:val="lb-LU" w:eastAsia="lb-LU"/>
        </w:rPr>
        <w:drawing>
          <wp:inline distT="0" distB="0" distL="0" distR="0" wp14:anchorId="2B628798" wp14:editId="7DF88AC9">
            <wp:extent cx="106680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066800" cy="1133475"/>
                    </a:xfrm>
                    <a:prstGeom prst="rect">
                      <a:avLst/>
                    </a:prstGeom>
                  </pic:spPr>
                </pic:pic>
              </a:graphicData>
            </a:graphic>
          </wp:inline>
        </w:drawing>
      </w:r>
    </w:p>
    <w:p w14:paraId="3D2C1059" w14:textId="71F76FDE" w:rsidR="00EF1714" w:rsidRDefault="00EF1714" w:rsidP="00EF1714"/>
    <w:p w14:paraId="3C8B8798" w14:textId="6FBC5DE0" w:rsidR="00EF1714" w:rsidRDefault="00EF1714" w:rsidP="00EF1714">
      <w:pPr>
        <w:pStyle w:val="Heading3"/>
      </w:pPr>
      <w:r>
        <w:t>Art. 11.1.2 Recul latéral</w:t>
      </w:r>
    </w:p>
    <w:p w14:paraId="286A47FF" w14:textId="35EB8F0B" w:rsidR="00EF1714" w:rsidRDefault="00EF1714" w:rsidP="00EF1714">
      <w:r w:rsidRPr="00EF1714">
        <w:t>Toute construction doit être implantée en recul latéral de 3,00 m minimum</w:t>
      </w:r>
    </w:p>
    <w:p w14:paraId="28DB57DD" w14:textId="028EF376" w:rsidR="00EF1714" w:rsidRDefault="00EF1714" w:rsidP="00EF1714">
      <w:pPr>
        <w:jc w:val="center"/>
      </w:pPr>
      <w:r>
        <w:rPr>
          <w:noProof/>
          <w:lang w:val="lb-LU" w:eastAsia="lb-LU"/>
        </w:rPr>
        <w:drawing>
          <wp:inline distT="0" distB="0" distL="0" distR="0" wp14:anchorId="08B1284D" wp14:editId="0F63CBD2">
            <wp:extent cx="10763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76325" cy="1190625"/>
                    </a:xfrm>
                    <a:prstGeom prst="rect">
                      <a:avLst/>
                    </a:prstGeom>
                  </pic:spPr>
                </pic:pic>
              </a:graphicData>
            </a:graphic>
          </wp:inline>
        </w:drawing>
      </w:r>
    </w:p>
    <w:p w14:paraId="411EA3E0" w14:textId="12128A0B" w:rsidR="00EF1714" w:rsidRDefault="00EF1714" w:rsidP="00EF1714"/>
    <w:p w14:paraId="6C46758D" w14:textId="7680C12A" w:rsidR="00EF1714" w:rsidRDefault="00EF1714" w:rsidP="00EF1714">
      <w:pPr>
        <w:pStyle w:val="Heading3"/>
      </w:pPr>
      <w:r>
        <w:lastRenderedPageBreak/>
        <w:t>Art. 11.1.3 Recul arrière</w:t>
      </w:r>
    </w:p>
    <w:p w14:paraId="447F6AEF" w14:textId="0141C1FC" w:rsidR="00EF1714" w:rsidRDefault="00EF1714" w:rsidP="00EF1714">
      <w:r w:rsidRPr="00EF1714">
        <w:t>Toute construction doit être implantée en recul arrière de 5,00 m minimum.</w:t>
      </w:r>
    </w:p>
    <w:p w14:paraId="52BB9E70" w14:textId="3283993B" w:rsidR="00EF1714" w:rsidRDefault="00EF1714" w:rsidP="00EF1714">
      <w:pPr>
        <w:jc w:val="center"/>
      </w:pPr>
      <w:r>
        <w:rPr>
          <w:noProof/>
          <w:lang w:val="lb-LU" w:eastAsia="lb-LU"/>
        </w:rPr>
        <w:drawing>
          <wp:inline distT="0" distB="0" distL="0" distR="0" wp14:anchorId="51B3C759" wp14:editId="78F38D60">
            <wp:extent cx="1133475" cy="1123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3475" cy="1123950"/>
                    </a:xfrm>
                    <a:prstGeom prst="rect">
                      <a:avLst/>
                    </a:prstGeom>
                  </pic:spPr>
                </pic:pic>
              </a:graphicData>
            </a:graphic>
          </wp:inline>
        </w:drawing>
      </w:r>
    </w:p>
    <w:p w14:paraId="7D9A41EC" w14:textId="38DD0C72" w:rsidR="00EF1714" w:rsidRDefault="00EF1714" w:rsidP="00EF1714"/>
    <w:p w14:paraId="1333433D" w14:textId="18CDE803" w:rsidR="00EF1714" w:rsidRDefault="00EF1714" w:rsidP="00EF1714">
      <w:pPr>
        <w:pStyle w:val="Heading2"/>
      </w:pPr>
      <w:r>
        <w:t>Art. 11.2 Type et implantation des constructions hors-sol et sous-sol</w:t>
      </w:r>
    </w:p>
    <w:p w14:paraId="2E4A6FC4" w14:textId="25C1D416" w:rsidR="00EF1714" w:rsidRDefault="00EF1714" w:rsidP="00EF1714">
      <w:pPr>
        <w:pStyle w:val="Heading3"/>
      </w:pPr>
      <w:r>
        <w:t>Art. 11.2.1 Type de constructions</w:t>
      </w:r>
    </w:p>
    <w:p w14:paraId="760324D8" w14:textId="77777777" w:rsidR="00EF1714" w:rsidRDefault="00EF1714" w:rsidP="00EF1714">
      <w:r>
        <w:t>Les constructions peuvent être implantées de manière isolée ou groupée.</w:t>
      </w:r>
    </w:p>
    <w:p w14:paraId="17F2195A" w14:textId="0E16B16C" w:rsidR="00EF1714" w:rsidRDefault="00EF1714" w:rsidP="00EF1714">
      <w: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17A137A8" w14:textId="07CCA68A" w:rsidR="00EF1714" w:rsidRDefault="00EF1714" w:rsidP="00EF1714">
      <w:pPr>
        <w:pStyle w:val="Heading3"/>
      </w:pPr>
      <w:r>
        <w:t>Art. 11.2.2 Bande de construction</w:t>
      </w:r>
    </w:p>
    <w:p w14:paraId="511DBF31" w14:textId="60CD6AD1" w:rsidR="00EF1714" w:rsidRDefault="00EF1714" w:rsidP="00EF1714">
      <w:r w:rsidRPr="00EF1714">
        <w:t>La bande de construction est définie librement en fonction des besoins.</w:t>
      </w:r>
    </w:p>
    <w:p w14:paraId="4387C42C" w14:textId="3FEEA2C0" w:rsidR="00EF1714" w:rsidRDefault="00EF1714" w:rsidP="00EF1714">
      <w:pPr>
        <w:pStyle w:val="Heading3"/>
      </w:pPr>
      <w:r>
        <w:t>Art. 11.2.3 Profondeur de la construction hors-sol et sous-sol</w:t>
      </w:r>
    </w:p>
    <w:p w14:paraId="40E67039" w14:textId="3E4383FB" w:rsidR="00EF1714" w:rsidRDefault="00EF1714" w:rsidP="00EF1714">
      <w:r w:rsidRPr="00EF1714">
        <w:t>La profondeur des constructions est définie librement en fonction des besoins.</w:t>
      </w:r>
    </w:p>
    <w:p w14:paraId="3F2B0901" w14:textId="7B26F1A2" w:rsidR="00EF1714" w:rsidRDefault="00EF1714" w:rsidP="00EF1714">
      <w:pPr>
        <w:pStyle w:val="Heading2"/>
      </w:pPr>
      <w:r>
        <w:t>Art. 11.3 Nombre de niveaux</w:t>
      </w:r>
    </w:p>
    <w:p w14:paraId="048E33A0" w14:textId="0F8E5CF8" w:rsidR="00EF1714" w:rsidRDefault="00EF1714" w:rsidP="00EF1714">
      <w:r>
        <w:t>Pour les constructions principales:</w:t>
      </w:r>
    </w:p>
    <w:p w14:paraId="5DF8CCA5" w14:textId="77777777" w:rsidR="00EF1714" w:rsidRDefault="00EF1714" w:rsidP="00EF1714">
      <w:pPr>
        <w:pStyle w:val="ListParagraph"/>
        <w:numPr>
          <w:ilvl w:val="0"/>
          <w:numId w:val="7"/>
        </w:numPr>
      </w:pPr>
      <w:r>
        <w:t>Le nombre de niveaux pleins autorisé est de 2 au maximum;</w:t>
      </w:r>
    </w:p>
    <w:p w14:paraId="7834E21F" w14:textId="77777777" w:rsidR="00EF1714" w:rsidRDefault="00EF1714" w:rsidP="00EF1714">
      <w:pPr>
        <w:pStyle w:val="ListParagraph"/>
        <w:numPr>
          <w:ilvl w:val="0"/>
          <w:numId w:val="7"/>
        </w:numPr>
      </w:pPr>
      <w:r>
        <w:t>1 niveau supplémentaire peut être réalisé dans les combles ou comme étage en retrait, sans dépasser 80% de la surface du niveau plein inférieur;</w:t>
      </w:r>
    </w:p>
    <w:p w14:paraId="2010BD34" w14:textId="1FD3C696" w:rsidR="00EF1714" w:rsidRDefault="00EF1714" w:rsidP="00EF1714">
      <w:pPr>
        <w:pStyle w:val="ListParagraph"/>
        <w:numPr>
          <w:ilvl w:val="0"/>
          <w:numId w:val="7"/>
        </w:numPr>
      </w:pPr>
      <w:r>
        <w:t>Les niveaux en sous-sol ne sont pas autorisés.</w:t>
      </w:r>
    </w:p>
    <w:p w14:paraId="1A761DC5" w14:textId="5A57C2D0" w:rsidR="00EF1714" w:rsidRDefault="00EF1714" w:rsidP="00EF1714">
      <w:pPr>
        <w:jc w:val="center"/>
      </w:pPr>
      <w:r>
        <w:rPr>
          <w:noProof/>
          <w:lang w:val="lb-LU" w:eastAsia="lb-LU"/>
        </w:rPr>
        <w:drawing>
          <wp:inline distT="0" distB="0" distL="0" distR="0" wp14:anchorId="48F23B11" wp14:editId="0FD0DA6A">
            <wp:extent cx="1438275" cy="1247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38275" cy="1247775"/>
                    </a:xfrm>
                    <a:prstGeom prst="rect">
                      <a:avLst/>
                    </a:prstGeom>
                  </pic:spPr>
                </pic:pic>
              </a:graphicData>
            </a:graphic>
          </wp:inline>
        </w:drawing>
      </w:r>
    </w:p>
    <w:p w14:paraId="73D98924" w14:textId="5D3800B4" w:rsidR="00EF1714" w:rsidRDefault="00EF1714" w:rsidP="00EF1714"/>
    <w:p w14:paraId="487FCEF5" w14:textId="642BB20E" w:rsidR="00EF1714" w:rsidRDefault="00EF1714" w:rsidP="000B68F9">
      <w:pPr>
        <w:pStyle w:val="Heading2"/>
      </w:pPr>
      <w:r>
        <w:t>Art. 11.4 Hauteur des constructions</w:t>
      </w:r>
    </w:p>
    <w:p w14:paraId="7B5AC1B6" w14:textId="63396F27" w:rsidR="00EF1714" w:rsidRDefault="00EF1714" w:rsidP="00EF1714">
      <w:r w:rsidRPr="00EF1714">
        <w:t>Les constructions principales ne peuvent pas excéder 10,00 m au point le plus haut de la construction par rapport au niveau du terrain (hors superstructures de type cheminée, aération,...), sauf en cas d’impératif fonctionnel.</w:t>
      </w:r>
    </w:p>
    <w:p w14:paraId="2D6A14AB" w14:textId="69708639" w:rsidR="000B68F9" w:rsidRDefault="000B68F9" w:rsidP="000B68F9">
      <w:pPr>
        <w:jc w:val="center"/>
      </w:pPr>
      <w:r>
        <w:rPr>
          <w:noProof/>
          <w:lang w:val="lb-LU" w:eastAsia="lb-LU"/>
        </w:rPr>
        <w:lastRenderedPageBreak/>
        <w:drawing>
          <wp:inline distT="0" distB="0" distL="0" distR="0" wp14:anchorId="7EE6C5E1" wp14:editId="764252D4">
            <wp:extent cx="1323975" cy="1200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23975" cy="1200150"/>
                    </a:xfrm>
                    <a:prstGeom prst="rect">
                      <a:avLst/>
                    </a:prstGeom>
                  </pic:spPr>
                </pic:pic>
              </a:graphicData>
            </a:graphic>
          </wp:inline>
        </w:drawing>
      </w:r>
    </w:p>
    <w:p w14:paraId="1CDA389D" w14:textId="4A820651" w:rsidR="000B68F9" w:rsidRDefault="000B68F9" w:rsidP="00EF1714"/>
    <w:p w14:paraId="79391EF9" w14:textId="407222D0" w:rsidR="000B68F9" w:rsidRDefault="000B68F9" w:rsidP="000B68F9">
      <w:pPr>
        <w:pStyle w:val="Heading2"/>
      </w:pPr>
      <w:r>
        <w:t>Art. 11.5 Nombre d’unités de logement</w:t>
      </w:r>
    </w:p>
    <w:p w14:paraId="75AE5E59" w14:textId="5FEE1B08" w:rsidR="000B68F9" w:rsidRPr="000B68F9" w:rsidRDefault="000B68F9" w:rsidP="000B68F9">
      <w:r w:rsidRPr="000B68F9">
        <w:t>Un logement de service maximum est autorisé par entreprise. Les autres logements permanents sont interdits.</w:t>
      </w:r>
    </w:p>
    <w:p w14:paraId="5B556E61" w14:textId="63EA088F" w:rsidR="000B68F9" w:rsidRDefault="000B68F9" w:rsidP="000B68F9">
      <w:pPr>
        <w:pStyle w:val="Heading2"/>
      </w:pPr>
      <w:r>
        <w:t>Art. 11.6 Espace libre des parcelles</w:t>
      </w:r>
    </w:p>
    <w:p w14:paraId="680594D3" w14:textId="77777777" w:rsidR="000B68F9" w:rsidRDefault="000B68F9" w:rsidP="000B68F9">
      <w:r>
        <w:t>L’emprise au sol des constructions ne peut pas dépasser 40% de la surface de la parcelle située en quartier existant ECO-c1 – A.</w:t>
      </w:r>
    </w:p>
    <w:p w14:paraId="245733FC" w14:textId="392B40B0" w:rsidR="000B68F9" w:rsidRPr="007D461A" w:rsidRDefault="000B68F9" w:rsidP="000B68F9">
      <w:r>
        <w:t>Des surfaces égales à au moins 10% de la superficie de la parcelle doivent être réservées à la plantation d’espèces locales. Ces surfaces sont à privilégier limites de quartier existant et elles ne peuvent servir ni au dépôt de matériaux, ni au stationnement de véhicules.</w:t>
      </w:r>
    </w:p>
    <w:sectPr w:rsidR="000B68F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1F26B7"/>
    <w:multiLevelType w:val="hybridMultilevel"/>
    <w:tmpl w:val="DFF094A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68F9"/>
    <w:rsid w:val="000E7A5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171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EF1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2024-03-08T05:48:00Z</dcterms:modified>
</cp:coreProperties>
</file>