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57FC1" w14:textId="6D4BD1AE" w:rsidR="009802B7" w:rsidRPr="009802B7" w:rsidRDefault="00F0454E" w:rsidP="009802B7">
      <w:pPr>
        <w:pStyle w:val="Heading1"/>
      </w:pPr>
      <w:r>
        <w:t>Art. 10 Catégories de la zone verte</w:t>
      </w:r>
      <w:bookmarkStart w:id="0" w:name="_GoBack"/>
      <w:bookmarkEnd w:id="0"/>
    </w:p>
    <w:p w14:paraId="3D11A750" w14:textId="77777777" w:rsidR="00F0454E" w:rsidRDefault="00F0454E" w:rsidP="00F0454E">
      <w:r>
        <w:t>La zone verte comporte:</w:t>
      </w:r>
    </w:p>
    <w:p w14:paraId="694C857F" w14:textId="77777777" w:rsidR="00F0454E" w:rsidRDefault="00F0454E" w:rsidP="00F0454E">
      <w:pPr>
        <w:pStyle w:val="ListParagraph"/>
        <w:numPr>
          <w:ilvl w:val="0"/>
          <w:numId w:val="7"/>
        </w:numPr>
      </w:pPr>
      <w:r>
        <w:t>les zones agricoles;</w:t>
      </w:r>
    </w:p>
    <w:p w14:paraId="37AA4662" w14:textId="77777777" w:rsidR="00F0454E" w:rsidRDefault="00F0454E" w:rsidP="00F0454E">
      <w:pPr>
        <w:pStyle w:val="ListParagraph"/>
        <w:numPr>
          <w:ilvl w:val="0"/>
          <w:numId w:val="7"/>
        </w:numPr>
      </w:pPr>
      <w:r>
        <w:t>les zones forestières;</w:t>
      </w:r>
    </w:p>
    <w:p w14:paraId="1A5AF100" w14:textId="77777777" w:rsidR="00F0454E" w:rsidRDefault="00F0454E" w:rsidP="00F0454E">
      <w:pPr>
        <w:pStyle w:val="ListParagraph"/>
        <w:numPr>
          <w:ilvl w:val="0"/>
          <w:numId w:val="7"/>
        </w:numPr>
      </w:pPr>
      <w:r>
        <w:t>les zones de verdure.</w:t>
      </w:r>
    </w:p>
    <w:p w14:paraId="2DDC46D9" w14:textId="77777777" w:rsidR="00F0454E" w:rsidRDefault="00F0454E" w:rsidP="00F0454E">
      <w:r>
        <w:t>Seules sont autorisées des constructions telles que définies par l’article 6 de la loi du 18 juillet 2018 concernant la protection de la nature et des ressources naturelles.</w:t>
      </w:r>
    </w:p>
    <w:p w14:paraId="7696AEFF" w14:textId="77777777" w:rsidR="00F0454E" w:rsidRDefault="00F0454E" w:rsidP="00F0454E">
      <w:r>
        <w:t>Pour mémoire, une autorisation de bâtir du ministère ayant l’environnement dans ses compétences est requise.</w:t>
      </w:r>
    </w:p>
    <w:p w14:paraId="55C97251" w14:textId="2E416C07" w:rsidR="00F0454E" w:rsidRDefault="00F0454E" w:rsidP="00F0454E">
      <w:pPr>
        <w:pStyle w:val="Heading2"/>
      </w:pPr>
      <w:r>
        <w:t>Art. 10.3 Les zones de verdure</w:t>
      </w:r>
    </w:p>
    <w:p w14:paraId="38FDEE07" w14:textId="4E85BC6A" w:rsidR="006605E2" w:rsidRDefault="00F0454E" w:rsidP="00F0454E">
      <w:r>
        <w:t>La zone de verdure est destinée à assurer les fonctions écologiques et/ou d’intégration paysagère de certaines parties du territoire communal.</w:t>
      </w:r>
    </w:p>
    <w:p w14:paraId="7C6AB019" w14:textId="77777777" w:rsidR="00F0454E" w:rsidRDefault="00F0454E" w:rsidP="00F0454E">
      <w:r>
        <w:t>Seules sont autorisées les infrastructures d’utilité publique tels que réseaux divers et couloirs pour mobilité douce et les équipements liés au confort et à la sécurité de ses usagers.</w:t>
      </w:r>
    </w:p>
    <w:p w14:paraId="7B9A1DC6" w14:textId="23F2A219" w:rsidR="00F0454E" w:rsidRPr="007D461A" w:rsidRDefault="00F0454E" w:rsidP="00F0454E">
      <w:r>
        <w:t>Pour les constructions existantes, les dispositions de l’article 7 de la loi du 18 juillet 2018 concernant la protection de la nature et des ressources naturelles s’appliquent de plein droit.</w:t>
      </w:r>
    </w:p>
    <w:sectPr w:rsidR="00F0454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3E2"/>
    <w:multiLevelType w:val="hybridMultilevel"/>
    <w:tmpl w:val="E50C864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802B7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454E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2024-03-08T05:50:00Z</dcterms:modified>
</cp:coreProperties>
</file>