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E2CC5" w14:textId="01314DF5" w:rsidR="00EB1AEE" w:rsidRPr="00EB1AEE" w:rsidRDefault="00EB1AEE" w:rsidP="00EB1AEE">
      <w:pPr>
        <w:pStyle w:val="Heading1"/>
        <w:rPr>
          <w:lang w:val="fr-FR"/>
        </w:rPr>
      </w:pPr>
      <w:r>
        <w:rPr>
          <w:lang w:val="fr-FR"/>
        </w:rPr>
        <w:t>Art.</w:t>
      </w:r>
      <w:r w:rsidRPr="00EB1AEE">
        <w:rPr>
          <w:lang w:val="fr-FR"/>
        </w:rPr>
        <w:t xml:space="preserve"> 8 Quartier d</w:t>
      </w:r>
      <w:r>
        <w:rPr>
          <w:lang w:val="fr-FR"/>
        </w:rPr>
        <w:t>e sport et de loisirs « QE REC »</w:t>
      </w:r>
    </w:p>
    <w:p w14:paraId="2493098E" w14:textId="77777777" w:rsidR="00EB1AEE" w:rsidRDefault="00EB1AEE" w:rsidP="00EB1AEE">
      <w:pPr>
        <w:rPr>
          <w:lang w:val="fr-FR"/>
        </w:rPr>
      </w:pPr>
      <w:r>
        <w:rPr>
          <w:lang w:val="fr-FR"/>
        </w:rPr>
        <w:t>Le quartier « </w:t>
      </w:r>
      <w:r w:rsidRPr="00EB1AEE">
        <w:rPr>
          <w:lang w:val="fr-FR"/>
        </w:rPr>
        <w:t>QE REC</w:t>
      </w:r>
      <w:r>
        <w:rPr>
          <w:lang w:val="fr-FR"/>
        </w:rPr>
        <w:t> »</w:t>
      </w:r>
      <w:r w:rsidRPr="00EB1AEE">
        <w:rPr>
          <w:lang w:val="fr-FR"/>
        </w:rPr>
        <w:t xml:space="preserve"> se</w:t>
      </w:r>
      <w:r>
        <w:rPr>
          <w:lang w:val="fr-FR"/>
        </w:rPr>
        <w:t xml:space="preserve"> compose de deux sous-quartiers:</w:t>
      </w:r>
    </w:p>
    <w:p w14:paraId="4612E427" w14:textId="77777777" w:rsidR="00EB1AEE" w:rsidRDefault="00EB1AEE" w:rsidP="00EB1AEE">
      <w:pPr>
        <w:pStyle w:val="ListParagraph"/>
        <w:numPr>
          <w:ilvl w:val="0"/>
          <w:numId w:val="7"/>
        </w:numPr>
        <w:rPr>
          <w:lang w:val="fr-FR"/>
        </w:rPr>
      </w:pPr>
      <w:r w:rsidRPr="00EB1AEE">
        <w:rPr>
          <w:lang w:val="fr-FR"/>
        </w:rPr>
        <w:t xml:space="preserve">le sous-quartier </w:t>
      </w:r>
      <w:r>
        <w:rPr>
          <w:lang w:val="fr-FR"/>
        </w:rPr>
        <w:t>« </w:t>
      </w:r>
      <w:r w:rsidRPr="00EB1AEE">
        <w:rPr>
          <w:lang w:val="fr-FR"/>
        </w:rPr>
        <w:t>QE REC-1</w:t>
      </w:r>
      <w:r>
        <w:rPr>
          <w:lang w:val="fr-FR"/>
        </w:rPr>
        <w:t> »</w:t>
      </w:r>
      <w:r w:rsidRPr="00EB1AEE">
        <w:rPr>
          <w:lang w:val="fr-FR"/>
        </w:rPr>
        <w:t xml:space="preserve"> destiné à accueillir des équipements de loisirs à l’exclusi</w:t>
      </w:r>
      <w:r>
        <w:rPr>
          <w:lang w:val="fr-FR"/>
        </w:rPr>
        <w:t>on de tout équipement de séjour</w:t>
      </w:r>
    </w:p>
    <w:p w14:paraId="38FDEE07" w14:textId="53A93FC4" w:rsidR="006605E2" w:rsidRPr="00D47B94" w:rsidRDefault="00EB1AEE" w:rsidP="00D47B94">
      <w:pPr>
        <w:pStyle w:val="ListParagraph"/>
        <w:numPr>
          <w:ilvl w:val="0"/>
          <w:numId w:val="7"/>
        </w:numPr>
        <w:rPr>
          <w:lang w:val="fr-FR"/>
        </w:rPr>
      </w:pPr>
      <w:r w:rsidRPr="00EB1AEE">
        <w:rPr>
          <w:lang w:val="fr-FR"/>
        </w:rPr>
        <w:t xml:space="preserve">le sous-quartier </w:t>
      </w:r>
      <w:r>
        <w:rPr>
          <w:lang w:val="fr-FR"/>
        </w:rPr>
        <w:t>« </w:t>
      </w:r>
      <w:r w:rsidRPr="00EB1AEE">
        <w:rPr>
          <w:lang w:val="fr-FR"/>
        </w:rPr>
        <w:t>QE REC-2</w:t>
      </w:r>
      <w:r>
        <w:rPr>
          <w:lang w:val="fr-FR"/>
        </w:rPr>
        <w:t> »</w:t>
      </w:r>
      <w:r w:rsidRPr="00EB1AEE">
        <w:rPr>
          <w:lang w:val="fr-FR"/>
        </w:rPr>
        <w:t>, destiné à accueillir des équipements sportifs et touristiques ainsi que des équipemen</w:t>
      </w:r>
      <w:bookmarkStart w:id="0" w:name="_GoBack"/>
      <w:bookmarkEnd w:id="0"/>
      <w:r w:rsidRPr="00D47B94">
        <w:rPr>
          <w:lang w:val="fr-FR"/>
        </w:rPr>
        <w:t>ts de séjours exclusivement destinés à l’habitation temporaire, aux fins de loisirs et de détente.</w:t>
      </w:r>
    </w:p>
    <w:p w14:paraId="3369C99B" w14:textId="7C273C09" w:rsidR="00EB1AEE" w:rsidRDefault="00EB1AEE" w:rsidP="00EB1AEE">
      <w:pPr>
        <w:jc w:val="center"/>
        <w:rPr>
          <w:lang w:val="fr-FR"/>
        </w:rPr>
      </w:pPr>
      <w:r>
        <w:rPr>
          <w:noProof/>
          <w:lang w:val="fr-LU" w:eastAsia="fr-LU"/>
        </w:rPr>
        <w:drawing>
          <wp:inline distT="0" distB="0" distL="0" distR="0" wp14:anchorId="60A59827" wp14:editId="426F5127">
            <wp:extent cx="5828030" cy="2908300"/>
            <wp:effectExtent l="0" t="0" r="127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28030" cy="2908300"/>
                    </a:xfrm>
                    <a:prstGeom prst="rect">
                      <a:avLst/>
                    </a:prstGeom>
                    <a:noFill/>
                  </pic:spPr>
                </pic:pic>
              </a:graphicData>
            </a:graphic>
          </wp:inline>
        </w:drawing>
      </w:r>
    </w:p>
    <w:p w14:paraId="083729F9" w14:textId="27C507C8" w:rsidR="00EB1AEE" w:rsidRDefault="00EB1AEE" w:rsidP="00EB1AEE">
      <w:pPr>
        <w:rPr>
          <w:lang w:val="fr-FR"/>
        </w:rPr>
      </w:pPr>
    </w:p>
    <w:p w14:paraId="59580BA1" w14:textId="6D842750" w:rsidR="00EB1AEE" w:rsidRPr="00EB1AEE" w:rsidRDefault="00EB1AEE" w:rsidP="00EB1AEE">
      <w:pPr>
        <w:pStyle w:val="Heading2"/>
        <w:rPr>
          <w:lang w:val="fr-FR"/>
        </w:rPr>
      </w:pPr>
      <w:r>
        <w:rPr>
          <w:lang w:val="fr-FR"/>
        </w:rPr>
        <w:t>Art.</w:t>
      </w:r>
      <w:r w:rsidRPr="00EB1AEE">
        <w:rPr>
          <w:lang w:val="fr-FR"/>
        </w:rPr>
        <w:t xml:space="preserve"> 8.1 Recul* des constructions* par rapport aux limites du terrain à bâtir net* et distances à ob</w:t>
      </w:r>
      <w:r>
        <w:rPr>
          <w:lang w:val="fr-FR"/>
        </w:rPr>
        <w:t>server entre les constructions*</w:t>
      </w:r>
    </w:p>
    <w:p w14:paraId="21C30984" w14:textId="3030FA9B" w:rsidR="00EB1AEE" w:rsidRPr="00EB1AEE" w:rsidRDefault="00EB1AEE" w:rsidP="00EB1AEE">
      <w:pPr>
        <w:pStyle w:val="Heading3"/>
        <w:rPr>
          <w:lang w:val="fr-FR"/>
        </w:rPr>
      </w:pPr>
      <w:r>
        <w:rPr>
          <w:lang w:val="fr-FR"/>
        </w:rPr>
        <w:t>Art.</w:t>
      </w:r>
      <w:r w:rsidRPr="00EB1AEE">
        <w:rPr>
          <w:lang w:val="fr-FR"/>
        </w:rPr>
        <w:t xml:space="preserve"> 8.1.1 Reculs* avant, latéral et arrière</w:t>
      </w:r>
    </w:p>
    <w:p w14:paraId="4CC84D3C" w14:textId="7F12AC35" w:rsidR="00EB1AEE" w:rsidRDefault="00EB1AEE" w:rsidP="00EB1AEE">
      <w:pPr>
        <w:rPr>
          <w:lang w:val="fr-FR"/>
        </w:rPr>
      </w:pPr>
      <w:r w:rsidRPr="00EB1AEE">
        <w:rPr>
          <w:lang w:val="fr-FR"/>
        </w:rPr>
        <w:t>Les reculs* minimum avant, latéraux et arrière à respecter sont de cinq mètres.</w:t>
      </w:r>
    </w:p>
    <w:p w14:paraId="0A65660B" w14:textId="790840CE" w:rsidR="00EB1AEE" w:rsidRDefault="00EB1AEE" w:rsidP="00EB1AEE">
      <w:pPr>
        <w:jc w:val="center"/>
        <w:rPr>
          <w:lang w:val="fr-FR"/>
        </w:rPr>
      </w:pPr>
      <w:r>
        <w:rPr>
          <w:noProof/>
          <w:lang w:val="fr-LU" w:eastAsia="fr-LU"/>
        </w:rPr>
        <w:drawing>
          <wp:inline distT="0" distB="0" distL="0" distR="0" wp14:anchorId="712B2A5D" wp14:editId="136BB795">
            <wp:extent cx="5742940" cy="12865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2940" cy="1286510"/>
                    </a:xfrm>
                    <a:prstGeom prst="rect">
                      <a:avLst/>
                    </a:prstGeom>
                    <a:noFill/>
                  </pic:spPr>
                </pic:pic>
              </a:graphicData>
            </a:graphic>
          </wp:inline>
        </w:drawing>
      </w:r>
    </w:p>
    <w:p w14:paraId="4CAB1333" w14:textId="7CE2958F" w:rsidR="00EB1AEE" w:rsidRDefault="00EB1AEE" w:rsidP="00EB1AEE">
      <w:pPr>
        <w:rPr>
          <w:lang w:val="fr-FR"/>
        </w:rPr>
      </w:pPr>
    </w:p>
    <w:p w14:paraId="732D6035" w14:textId="775CF5A0" w:rsidR="00EB1AEE" w:rsidRPr="00EB1AEE" w:rsidRDefault="00EB1AEE" w:rsidP="00EB1AEE">
      <w:pPr>
        <w:pStyle w:val="Heading3"/>
        <w:rPr>
          <w:lang w:val="fr-FR"/>
        </w:rPr>
      </w:pPr>
      <w:r>
        <w:rPr>
          <w:lang w:val="fr-FR"/>
        </w:rPr>
        <w:t>Art.</w:t>
      </w:r>
      <w:r w:rsidRPr="00EB1AEE">
        <w:rPr>
          <w:lang w:val="fr-FR"/>
        </w:rPr>
        <w:t xml:space="preserve"> 8.1.2 Distances à observer entre les constructions*</w:t>
      </w:r>
    </w:p>
    <w:p w14:paraId="2ED0C34C" w14:textId="77777777" w:rsidR="00EB1AEE" w:rsidRPr="00EB1AEE" w:rsidRDefault="00EB1AEE" w:rsidP="00EB1AEE">
      <w:pPr>
        <w:rPr>
          <w:lang w:val="fr-FR"/>
        </w:rPr>
      </w:pPr>
      <w:r w:rsidRPr="00EB1AEE">
        <w:rPr>
          <w:lang w:val="fr-FR"/>
        </w:rPr>
        <w:t>Sans objet.</w:t>
      </w:r>
    </w:p>
    <w:p w14:paraId="19E0FFC5" w14:textId="271375EC" w:rsidR="00EB1AEE" w:rsidRPr="00EB1AEE" w:rsidRDefault="00EB1AEE" w:rsidP="00EB1AEE">
      <w:pPr>
        <w:pStyle w:val="Heading2"/>
        <w:rPr>
          <w:lang w:val="fr-FR"/>
        </w:rPr>
      </w:pPr>
      <w:r>
        <w:rPr>
          <w:lang w:val="fr-FR"/>
        </w:rPr>
        <w:t>Art.</w:t>
      </w:r>
      <w:r w:rsidRPr="00EB1AEE">
        <w:rPr>
          <w:lang w:val="fr-FR"/>
        </w:rPr>
        <w:t xml:space="preserve"> 8.2 Type et disposition des constructions* hors sol et sous-sol</w:t>
      </w:r>
    </w:p>
    <w:p w14:paraId="67C0F524" w14:textId="77777777" w:rsidR="00EB1AEE" w:rsidRPr="00EB1AEE" w:rsidRDefault="00EB1AEE" w:rsidP="00EB1AEE">
      <w:pPr>
        <w:rPr>
          <w:lang w:val="fr-FR"/>
        </w:rPr>
      </w:pPr>
      <w:r w:rsidRPr="00EB1AEE">
        <w:rPr>
          <w:lang w:val="fr-FR"/>
        </w:rPr>
        <w:t>Sans objet.</w:t>
      </w:r>
    </w:p>
    <w:p w14:paraId="70895857" w14:textId="36480BBC" w:rsidR="00EB1AEE" w:rsidRPr="00EB1AEE" w:rsidRDefault="00EB1AEE" w:rsidP="00EB1AEE">
      <w:pPr>
        <w:pStyle w:val="Heading2"/>
        <w:rPr>
          <w:lang w:val="fr-FR"/>
        </w:rPr>
      </w:pPr>
      <w:r>
        <w:rPr>
          <w:lang w:val="fr-FR"/>
        </w:rPr>
        <w:lastRenderedPageBreak/>
        <w:t>Art. 8.3 Nombre de niveaux*</w:t>
      </w:r>
    </w:p>
    <w:p w14:paraId="600F01E2" w14:textId="4CBD5502" w:rsidR="00EB1AEE" w:rsidRPr="00EB1AEE" w:rsidRDefault="00EB1AEE" w:rsidP="00EB1AEE">
      <w:pPr>
        <w:rPr>
          <w:lang w:val="fr-FR"/>
        </w:rPr>
      </w:pPr>
      <w:r w:rsidRPr="00EB1AEE">
        <w:rPr>
          <w:lang w:val="fr-FR"/>
        </w:rPr>
        <w:t>Le nombre de</w:t>
      </w:r>
      <w:r>
        <w:rPr>
          <w:lang w:val="fr-FR"/>
        </w:rPr>
        <w:t xml:space="preserve"> niveaux pleins* est limité à:</w:t>
      </w:r>
    </w:p>
    <w:p w14:paraId="7A7DD784" w14:textId="77777777" w:rsidR="00EB1AEE" w:rsidRDefault="00EB1AEE" w:rsidP="00EB1AEE">
      <w:pPr>
        <w:pStyle w:val="ListParagraph"/>
        <w:numPr>
          <w:ilvl w:val="0"/>
          <w:numId w:val="8"/>
        </w:numPr>
        <w:rPr>
          <w:lang w:val="fr-FR"/>
        </w:rPr>
      </w:pPr>
      <w:r w:rsidRPr="00EB1AEE">
        <w:rPr>
          <w:lang w:val="fr-FR"/>
        </w:rPr>
        <w:t>un niveau dan</w:t>
      </w:r>
      <w:r>
        <w:rPr>
          <w:lang w:val="fr-FR"/>
        </w:rPr>
        <w:t>s le sous-quartier « QE REC-1 »</w:t>
      </w:r>
    </w:p>
    <w:p w14:paraId="28AA354B" w14:textId="132C671F" w:rsidR="00EB1AEE" w:rsidRPr="00EB1AEE" w:rsidRDefault="00EB1AEE" w:rsidP="00EB1AEE">
      <w:pPr>
        <w:pStyle w:val="ListParagraph"/>
        <w:numPr>
          <w:ilvl w:val="0"/>
          <w:numId w:val="8"/>
        </w:numPr>
        <w:rPr>
          <w:lang w:val="fr-FR"/>
        </w:rPr>
      </w:pPr>
      <w:r w:rsidRPr="00EB1AEE">
        <w:rPr>
          <w:lang w:val="fr-FR"/>
        </w:rPr>
        <w:t xml:space="preserve">deux niveaux dans le sous-quartier </w:t>
      </w:r>
      <w:r>
        <w:rPr>
          <w:lang w:val="fr-FR"/>
        </w:rPr>
        <w:t>« </w:t>
      </w:r>
      <w:r w:rsidRPr="00EB1AEE">
        <w:rPr>
          <w:lang w:val="fr-FR"/>
        </w:rPr>
        <w:t>QE REC-2</w:t>
      </w:r>
      <w:r>
        <w:rPr>
          <w:lang w:val="fr-FR"/>
        </w:rPr>
        <w:t> ».</w:t>
      </w:r>
    </w:p>
    <w:p w14:paraId="24CB4CD9" w14:textId="773320BD" w:rsidR="00EB1AEE" w:rsidRPr="00EB1AEE" w:rsidRDefault="00EB1AEE" w:rsidP="00EB1AEE">
      <w:pPr>
        <w:pStyle w:val="Heading2"/>
        <w:rPr>
          <w:lang w:val="fr-FR"/>
        </w:rPr>
      </w:pPr>
      <w:r>
        <w:rPr>
          <w:lang w:val="fr-FR"/>
        </w:rPr>
        <w:t>Art.</w:t>
      </w:r>
      <w:r w:rsidRPr="00EB1AEE">
        <w:rPr>
          <w:lang w:val="fr-FR"/>
        </w:rPr>
        <w:t xml:space="preserve"> 8</w:t>
      </w:r>
      <w:r>
        <w:rPr>
          <w:lang w:val="fr-FR"/>
        </w:rPr>
        <w:t>.4 Hauteurs des constructions*</w:t>
      </w:r>
    </w:p>
    <w:p w14:paraId="264FE911" w14:textId="77777777" w:rsidR="00EB1AEE" w:rsidRPr="00EB1AEE" w:rsidRDefault="00EB1AEE" w:rsidP="00EB1AEE">
      <w:pPr>
        <w:rPr>
          <w:lang w:val="fr-FR"/>
        </w:rPr>
      </w:pPr>
      <w:r w:rsidRPr="00EB1AEE">
        <w:rPr>
          <w:lang w:val="fr-FR"/>
        </w:rPr>
        <w:t>La hauteur des constructions* est définie en fonction des besoins des équipements autorisés et doit garantir une intégration harmonieuse de toute construction* dans son espace bâti et naturel proche.</w:t>
      </w:r>
    </w:p>
    <w:p w14:paraId="62ACE88C" w14:textId="058F9685" w:rsidR="00EB1AEE" w:rsidRPr="00EB1AEE" w:rsidRDefault="00EB1AEE" w:rsidP="00EB1AEE">
      <w:pPr>
        <w:rPr>
          <w:lang w:val="fr-FR"/>
        </w:rPr>
      </w:pPr>
      <w:r w:rsidRPr="00EB1AEE">
        <w:rPr>
          <w:lang w:val="fr-FR"/>
        </w:rPr>
        <w:t xml:space="preserve">Dans le sous-quartier </w:t>
      </w:r>
      <w:r>
        <w:rPr>
          <w:lang w:val="fr-FR"/>
        </w:rPr>
        <w:t>« </w:t>
      </w:r>
      <w:r w:rsidRPr="00EB1AEE">
        <w:rPr>
          <w:lang w:val="fr-FR"/>
        </w:rPr>
        <w:t>QE REC-1</w:t>
      </w:r>
      <w:r>
        <w:rPr>
          <w:lang w:val="fr-FR"/>
        </w:rPr>
        <w:t> »</w:t>
      </w:r>
      <w:r w:rsidRPr="00EB1AEE">
        <w:rPr>
          <w:lang w:val="fr-FR"/>
        </w:rPr>
        <w:t>, la hauteur des constructions* ne peut excéder cinq mètres au faîtage* ou à l’acrotère*.</w:t>
      </w:r>
    </w:p>
    <w:p w14:paraId="1E62259E" w14:textId="77777777" w:rsidR="00EB1AEE" w:rsidRPr="00EB1AEE" w:rsidRDefault="00EB1AEE" w:rsidP="00EB1AEE">
      <w:pPr>
        <w:rPr>
          <w:lang w:val="fr-FR"/>
        </w:rPr>
      </w:pPr>
      <w:r w:rsidRPr="00EB1AEE">
        <w:rPr>
          <w:lang w:val="fr-FR"/>
        </w:rPr>
        <w:t>La hauteur de la corniche doit être inférieure à celle du faîte pour que les pans de toiture puissent évacuer les eaux de ruissellement vers l’extérieur dans les règles de l’art.</w:t>
      </w:r>
    </w:p>
    <w:p w14:paraId="3649E14F" w14:textId="581F652A" w:rsidR="00EB1AEE" w:rsidRPr="00EB1AEE" w:rsidRDefault="00EB1AEE" w:rsidP="00EB1AEE">
      <w:pPr>
        <w:rPr>
          <w:lang w:val="fr-FR"/>
        </w:rPr>
      </w:pPr>
      <w:r w:rsidRPr="00EB1AEE">
        <w:rPr>
          <w:lang w:val="fr-FR"/>
        </w:rPr>
        <w:t xml:space="preserve">Dans le sous-quartier </w:t>
      </w:r>
      <w:r>
        <w:rPr>
          <w:lang w:val="fr-FR"/>
        </w:rPr>
        <w:t>« </w:t>
      </w:r>
      <w:r w:rsidRPr="00EB1AEE">
        <w:rPr>
          <w:lang w:val="fr-FR"/>
        </w:rPr>
        <w:t>QE REC-2</w:t>
      </w:r>
      <w:r>
        <w:rPr>
          <w:lang w:val="fr-FR"/>
        </w:rPr>
        <w:t> »</w:t>
      </w:r>
      <w:r w:rsidRPr="00EB1AEE">
        <w:rPr>
          <w:lang w:val="fr-FR"/>
        </w:rPr>
        <w:t>, la hauteur des</w:t>
      </w:r>
      <w:r>
        <w:rPr>
          <w:lang w:val="fr-FR"/>
        </w:rPr>
        <w:t xml:space="preserve"> constructions* ne peut excéder</w:t>
      </w:r>
      <w:r w:rsidRPr="00EB1AEE">
        <w:rPr>
          <w:lang w:val="fr-FR"/>
        </w:rPr>
        <w:t>:</w:t>
      </w:r>
    </w:p>
    <w:p w14:paraId="725761F1" w14:textId="77777777" w:rsidR="00EB1AEE" w:rsidRDefault="00EB1AEE" w:rsidP="00EB1AEE">
      <w:pPr>
        <w:pStyle w:val="ListParagraph"/>
        <w:numPr>
          <w:ilvl w:val="0"/>
          <w:numId w:val="9"/>
        </w:numPr>
        <w:rPr>
          <w:lang w:val="fr-FR"/>
        </w:rPr>
      </w:pPr>
      <w:r w:rsidRPr="00EB1AEE">
        <w:rPr>
          <w:lang w:val="fr-FR"/>
        </w:rPr>
        <w:t>sept mètres à la corniche*</w:t>
      </w:r>
    </w:p>
    <w:p w14:paraId="5519B5FB" w14:textId="54E7E14B" w:rsidR="00EB1AEE" w:rsidRDefault="00EB1AEE" w:rsidP="00EB1AEE">
      <w:pPr>
        <w:pStyle w:val="ListParagraph"/>
        <w:numPr>
          <w:ilvl w:val="0"/>
          <w:numId w:val="9"/>
        </w:numPr>
        <w:rPr>
          <w:lang w:val="fr-FR"/>
        </w:rPr>
      </w:pPr>
      <w:r>
        <w:rPr>
          <w:lang w:val="fr-FR"/>
        </w:rPr>
        <w:t>huit mètres à l’acrotère*</w:t>
      </w:r>
    </w:p>
    <w:p w14:paraId="1B909A78" w14:textId="3BD42845" w:rsidR="00EB1AEE" w:rsidRPr="00EB1AEE" w:rsidRDefault="00EB1AEE" w:rsidP="00EB1AEE">
      <w:pPr>
        <w:pStyle w:val="ListParagraph"/>
        <w:numPr>
          <w:ilvl w:val="0"/>
          <w:numId w:val="9"/>
        </w:numPr>
        <w:rPr>
          <w:lang w:val="fr-FR"/>
        </w:rPr>
      </w:pPr>
      <w:r w:rsidRPr="00EB1AEE">
        <w:rPr>
          <w:lang w:val="fr-FR"/>
        </w:rPr>
        <w:t>treize mètres au faîtage*.</w:t>
      </w:r>
    </w:p>
    <w:p w14:paraId="1E5D981C" w14:textId="37722776" w:rsidR="00EB1AEE" w:rsidRDefault="00EB1AEE" w:rsidP="00EB1AEE">
      <w:pPr>
        <w:jc w:val="center"/>
        <w:rPr>
          <w:lang w:val="fr-FR"/>
        </w:rPr>
      </w:pPr>
      <w:r>
        <w:rPr>
          <w:noProof/>
          <w:lang w:val="fr-LU" w:eastAsia="fr-LU"/>
        </w:rPr>
        <w:drawing>
          <wp:inline distT="0" distB="0" distL="0" distR="0" wp14:anchorId="7B739EF9" wp14:editId="7059AAA1">
            <wp:extent cx="5761355" cy="12985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1355" cy="1298575"/>
                    </a:xfrm>
                    <a:prstGeom prst="rect">
                      <a:avLst/>
                    </a:prstGeom>
                    <a:noFill/>
                  </pic:spPr>
                </pic:pic>
              </a:graphicData>
            </a:graphic>
          </wp:inline>
        </w:drawing>
      </w:r>
    </w:p>
    <w:p w14:paraId="3160B6A1" w14:textId="39757113" w:rsidR="00EB1AEE" w:rsidRDefault="00EB1AEE" w:rsidP="00EB1AEE">
      <w:pPr>
        <w:rPr>
          <w:lang w:val="fr-FR"/>
        </w:rPr>
      </w:pPr>
    </w:p>
    <w:p w14:paraId="755AB86F" w14:textId="52F3376A" w:rsidR="00EB1AEE" w:rsidRPr="00EB1AEE" w:rsidRDefault="00EB1AEE" w:rsidP="00EB1AEE">
      <w:pPr>
        <w:pStyle w:val="Heading2"/>
        <w:rPr>
          <w:lang w:val="fr-FR"/>
        </w:rPr>
      </w:pPr>
      <w:r>
        <w:rPr>
          <w:lang w:val="fr-FR"/>
        </w:rPr>
        <w:t>Art.</w:t>
      </w:r>
      <w:r w:rsidRPr="00EB1AEE">
        <w:rPr>
          <w:lang w:val="fr-FR"/>
        </w:rPr>
        <w:t xml:space="preserve"> 8.5 Nombre d’unités de logement* par bâtiment</w:t>
      </w:r>
    </w:p>
    <w:p w14:paraId="34626DDD" w14:textId="77777777" w:rsidR="00EB1AEE" w:rsidRPr="00EB1AEE" w:rsidRDefault="00EB1AEE" w:rsidP="00EB1AEE">
      <w:pPr>
        <w:rPr>
          <w:lang w:val="fr-FR"/>
        </w:rPr>
      </w:pPr>
      <w:r w:rsidRPr="00EB1AEE">
        <w:rPr>
          <w:lang w:val="fr-FR"/>
        </w:rPr>
        <w:t>Sans objet.</w:t>
      </w:r>
    </w:p>
    <w:p w14:paraId="3F1D94B9" w14:textId="52D1A7F1" w:rsidR="00EB1AEE" w:rsidRPr="00EB1AEE" w:rsidRDefault="00EB1AEE" w:rsidP="00EB1AEE">
      <w:pPr>
        <w:pStyle w:val="Heading2"/>
        <w:rPr>
          <w:lang w:val="fr-FR"/>
        </w:rPr>
      </w:pPr>
      <w:r>
        <w:rPr>
          <w:lang w:val="fr-FR"/>
        </w:rPr>
        <w:t>Art.</w:t>
      </w:r>
      <w:r w:rsidRPr="00EB1AEE">
        <w:rPr>
          <w:lang w:val="fr-FR"/>
        </w:rPr>
        <w:t xml:space="preserve"> 8.6 Emplacements de stationnement</w:t>
      </w:r>
    </w:p>
    <w:p w14:paraId="6CDF4416" w14:textId="285FA909" w:rsidR="00EB1AEE" w:rsidRPr="00EB1AEE" w:rsidRDefault="00EB1AEE" w:rsidP="00EB1AEE">
      <w:pPr>
        <w:rPr>
          <w:lang w:val="fr-FR"/>
        </w:rPr>
      </w:pPr>
      <w:r w:rsidRPr="00EB1AEE">
        <w:rPr>
          <w:lang w:val="fr-FR"/>
        </w:rPr>
        <w:t>Le nombre d’emplacements de stationnement à réaliser est défini en fonction des besoins spécifiques des bâti</w:t>
      </w:r>
      <w:r>
        <w:rPr>
          <w:lang w:val="fr-FR"/>
        </w:rPr>
        <w:t>ments et équipements autorisés.</w:t>
      </w:r>
    </w:p>
    <w:p w14:paraId="697FAAAF" w14:textId="4C43F9C0" w:rsidR="00EB1AEE" w:rsidRPr="006605E2" w:rsidRDefault="00EB1AEE" w:rsidP="00EB1AEE">
      <w:pPr>
        <w:rPr>
          <w:lang w:val="fr-FR"/>
        </w:rPr>
      </w:pPr>
      <w:r w:rsidRPr="00EB1AEE">
        <w:rPr>
          <w:lang w:val="fr-FR"/>
        </w:rPr>
        <w:t>Dans le cas d’un regroupement de plusieurs équipements sur un même site, l’estimation des besoins en emplacements de stationnement tiendra compte des heures de fréquentation de chaque équipement afin de mutualiser les emplacements.</w:t>
      </w:r>
    </w:p>
    <w:sectPr w:rsidR="00EB1AEE"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E17F4C"/>
    <w:multiLevelType w:val="hybridMultilevel"/>
    <w:tmpl w:val="9B5207F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3E783E43"/>
    <w:multiLevelType w:val="hybridMultilevel"/>
    <w:tmpl w:val="9B4421B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72225A"/>
    <w:multiLevelType w:val="hybridMultilevel"/>
    <w:tmpl w:val="0DFCB82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7"/>
  </w:num>
  <w:num w:numId="4">
    <w:abstractNumId w:val="0"/>
  </w:num>
  <w:num w:numId="5">
    <w:abstractNumId w:val="1"/>
  </w:num>
  <w:num w:numId="6">
    <w:abstractNumId w:val="2"/>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47B94"/>
    <w:rsid w:val="00EA7952"/>
    <w:rsid w:val="00EB1AEE"/>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2022-02-04T07:42:00Z</dcterms:modified>
</cp:coreProperties>
</file>