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0F6F0" w14:textId="77777777" w:rsidR="005A2786" w:rsidRDefault="005A2786" w:rsidP="005A2786">
      <w:pPr>
        <w:pStyle w:val="Heading1"/>
      </w:pPr>
      <w:r>
        <w:t>Art. 11 Catégories</w:t>
      </w:r>
    </w:p>
    <w:p w14:paraId="432E072A" w14:textId="67F9C474" w:rsidR="005A2786" w:rsidRDefault="005A2786" w:rsidP="005A2786">
      <w:r>
        <w:t>La zone verte comprend:</w:t>
      </w:r>
    </w:p>
    <w:p w14:paraId="2AF77B71" w14:textId="77777777" w:rsidR="005A2786" w:rsidRDefault="005A2786" w:rsidP="005A2786">
      <w:pPr>
        <w:pStyle w:val="ListParagraph"/>
        <w:numPr>
          <w:ilvl w:val="0"/>
          <w:numId w:val="7"/>
        </w:numPr>
      </w:pPr>
      <w:r>
        <w:t>les zones agricoles;</w:t>
      </w:r>
    </w:p>
    <w:p w14:paraId="6A8443D2" w14:textId="77777777" w:rsidR="005A2786" w:rsidRDefault="005A2786" w:rsidP="005A2786">
      <w:pPr>
        <w:pStyle w:val="ListParagraph"/>
        <w:numPr>
          <w:ilvl w:val="0"/>
          <w:numId w:val="7"/>
        </w:numPr>
      </w:pPr>
      <w:r>
        <w:t>les zones viticoles;</w:t>
      </w:r>
    </w:p>
    <w:p w14:paraId="71E702B3" w14:textId="77777777" w:rsidR="005A2786" w:rsidRDefault="005A2786" w:rsidP="005A2786">
      <w:pPr>
        <w:pStyle w:val="ListParagraph"/>
        <w:numPr>
          <w:ilvl w:val="0"/>
          <w:numId w:val="7"/>
        </w:numPr>
      </w:pPr>
      <w:r>
        <w:t>les zones forestières;</w:t>
      </w:r>
    </w:p>
    <w:p w14:paraId="14BE4F18" w14:textId="47A95F86" w:rsidR="00DA687A" w:rsidRDefault="005A2786" w:rsidP="00DA687A">
      <w:pPr>
        <w:pStyle w:val="ListParagraph"/>
        <w:numPr>
          <w:ilvl w:val="0"/>
          <w:numId w:val="7"/>
        </w:numPr>
      </w:pPr>
      <w:r>
        <w:t>les zones de verdure.</w:t>
      </w:r>
      <w:bookmarkStart w:id="0" w:name="_GoBack"/>
      <w:bookmarkEnd w:id="0"/>
    </w:p>
    <w:p w14:paraId="42E59855" w14:textId="77777777" w:rsidR="005A2786" w:rsidRDefault="005A2786" w:rsidP="005A2786">
      <w:r>
        <w:t>Ces zones constituent des zones vertes au sens de la législation en vigueur concernant la protection de la nature et des ressources naturelles. Seuls sont admis dans la zone verte des constructions et aménagements conformes à l’affectation de la zone verte telle que prévue par la législation en vigueur concernant la protection de la nature et des ressources naturelles.</w:t>
      </w:r>
    </w:p>
    <w:p w14:paraId="7D11DDA0" w14:textId="77777777" w:rsidR="005A2786" w:rsidRDefault="005A2786" w:rsidP="005A2786">
      <w:r>
        <w:t>Outre le bourgmestre, le Ministre ayant la protection de la nature et des ressources naturelles dans ses attributions est compétent pour la délivrance d’autorisations relatives à tout aménagement et à tout projet de construction, de démolition, d’agrandissement ou de transformation, conformément aux dispositions de la législation en vigueur concernant la protection de la nature et des ressources naturelles.</w:t>
      </w:r>
    </w:p>
    <w:p w14:paraId="079AB86B" w14:textId="77777777" w:rsidR="0016489B" w:rsidRDefault="0016489B" w:rsidP="0016489B">
      <w:pPr>
        <w:pStyle w:val="Heading1"/>
      </w:pPr>
      <w:r>
        <w:t>Art. 13 Zones viticoles (VIT)</w:t>
      </w:r>
    </w:p>
    <w:p w14:paraId="55A198B1" w14:textId="77777777" w:rsidR="0016489B" w:rsidRDefault="0016489B" w:rsidP="0016489B">
      <w:r>
        <w:t>Les zones viticoles sont principalement destinées à la viticulture.</w:t>
      </w:r>
    </w:p>
    <w:p w14:paraId="336BA481" w14:textId="77777777" w:rsidR="0016489B" w:rsidRDefault="0016489B" w:rsidP="0016489B">
      <w:r>
        <w:t>Dans les zones viticoles seules peuvent être érigées des constructions et installations autorisables en application de la législation en vigueur concernant la protection de la nature et des ressources naturelles.</w:t>
      </w:r>
    </w:p>
    <w:p w14:paraId="4392B969" w14:textId="1A4C6724" w:rsidR="0016489B" w:rsidRDefault="0016489B" w:rsidP="0016489B">
      <w:r>
        <w:t>Une autorisation de bâtir ne peut être délivrée par le bourgmestre, sans préjudice d’autres dispositions légales et règlementaires, que si les conditions suivantes sont remplies cumulativement:</w:t>
      </w:r>
    </w:p>
    <w:p w14:paraId="0CEC8418" w14:textId="77777777" w:rsidR="0016489B" w:rsidRDefault="0016489B" w:rsidP="0016489B">
      <w:pPr>
        <w:pStyle w:val="ListParagraph"/>
        <w:numPr>
          <w:ilvl w:val="0"/>
          <w:numId w:val="9"/>
        </w:numPr>
      </w:pPr>
      <w:r>
        <w:t>la parcelle devant accueillir la construction ou l’installation doit être desservie par un ou plusieurs chemins d’accès publics, dans des conditions répondant à l’importance et à la destination de la construction ou de l’installation ou de l’ensemble des constructions ou installations à réaliser et permettant le passage des services d’intervention urgente, notamment en ce qui concerne la commodité des circulations et accès. Exceptionnellement, la desserte pourra se faire moyennant une voie privée, sous condition que la voie de desserte et la parcelle devant accueillir la construction ou l’installation appartiennent au même propriétaire;</w:t>
      </w:r>
    </w:p>
    <w:p w14:paraId="1BFF05C3" w14:textId="2F91F18D" w:rsidR="0016489B" w:rsidRDefault="0016489B" w:rsidP="0016489B">
      <w:pPr>
        <w:pStyle w:val="ListParagraph"/>
        <w:numPr>
          <w:ilvl w:val="0"/>
          <w:numId w:val="9"/>
        </w:numPr>
      </w:pPr>
      <w:r>
        <w:t xml:space="preserve">les constructions d’habitation, dans les conditions prévues par la législation en vigueur concernant la protection de la nature et des ressources naturelles, doivent être desservies par le réseau d’eau potable, le réseau de canalisation et le réseau </w:t>
      </w:r>
      <w:r>
        <w:lastRenderedPageBreak/>
        <w:t>d’électricité par le biais d’un ou de plusieurs raccordements, étant précisé que les frais de raccordement sont à la charge du maître d’ouvrage. Si les raccordements s’avèrent techniquement impossibles à réaliser, une solution de rechange doit être proposée par le maître d’ouvrage et approuvée par les autorités compétentes.</w:t>
      </w:r>
    </w:p>
    <w:p w14:paraId="38FDEE07" w14:textId="218CD00D" w:rsidR="006605E2" w:rsidRPr="007D461A" w:rsidRDefault="0016489B" w:rsidP="0016489B">
      <w:r>
        <w:t>Toutes les constructions et installations à réaliser en « zone viticole » sont caractérisées par des volumes simples et doivent être revêtues de matériaux de texture et de teintes sobres. Les aménagements extérieurs sont à concevoir dans un esprit d’intégration au paysage.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265228"/>
    <w:multiLevelType w:val="hybridMultilevel"/>
    <w:tmpl w:val="38243A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2355437"/>
    <w:multiLevelType w:val="hybridMultilevel"/>
    <w:tmpl w:val="18A4BE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9DD5930"/>
    <w:multiLevelType w:val="hybridMultilevel"/>
    <w:tmpl w:val="992EE9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6"/>
  </w:num>
  <w:num w:numId="3">
    <w:abstractNumId w:val="7"/>
  </w:num>
  <w:num w:numId="4">
    <w:abstractNumId w:val="0"/>
  </w:num>
  <w:num w:numId="5">
    <w:abstractNumId w:val="1"/>
  </w:num>
  <w:num w:numId="6">
    <w:abstractNumId w:val="2"/>
  </w:num>
  <w:num w:numId="7">
    <w:abstractNumId w:val="3"/>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6489B"/>
    <w:rsid w:val="00387019"/>
    <w:rsid w:val="0039622D"/>
    <w:rsid w:val="00397462"/>
    <w:rsid w:val="003A681A"/>
    <w:rsid w:val="005A2786"/>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A687A"/>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434</Words>
  <Characters>2479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2022-11-16T09:24:00Z</dcterms:modified>
</cp:coreProperties>
</file>