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2F80F" w14:textId="50EADF0D" w:rsidR="00E46AE7" w:rsidRPr="00E46AE7" w:rsidRDefault="00246EE5" w:rsidP="00E46AE7">
      <w:pPr>
        <w:pStyle w:val="Title"/>
      </w:pPr>
      <w:r>
        <w:t>Informations complémentaires à titre indicatif</w:t>
      </w:r>
      <w:bookmarkStart w:id="0" w:name="_GoBack"/>
      <w:bookmarkEnd w:id="0"/>
    </w:p>
    <w:p w14:paraId="6F7FBE9C" w14:textId="77777777" w:rsidR="00246EE5" w:rsidRDefault="00246EE5" w:rsidP="00246EE5">
      <w:pPr>
        <w:pStyle w:val="Heading1"/>
      </w:pPr>
      <w:r>
        <w:t>Art. 24 Biotopes, habitats ou habitats d’espèces et arbres tombant sous le régime des articles 14, 17 et/ou 21 de la loi du 18 juillet 2018 concernant la protection de la nature et des ressources naturelles</w:t>
      </w:r>
    </w:p>
    <w:p w14:paraId="12C05711" w14:textId="77777777" w:rsidR="00246EE5" w:rsidRDefault="00246EE5" w:rsidP="00246EE5">
      <w:r>
        <w:t>Sont repris dans le plan des dispositions complémentaires à titre indicatif et non exhaustif:</w:t>
      </w:r>
    </w:p>
    <w:p w14:paraId="38FDEE07" w14:textId="2274728D" w:rsidR="006605E2" w:rsidRPr="007D461A" w:rsidRDefault="00246EE5" w:rsidP="00246EE5">
      <w:pPr>
        <w:pStyle w:val="ListParagraph"/>
        <w:numPr>
          <w:ilvl w:val="0"/>
          <w:numId w:val="7"/>
        </w:numPr>
      </w:pPr>
      <w:r>
        <w:t>les habitats d’espèces tombant sous le régime des articles 17 et/ou 21 de la loi du 18 juillet 2018 concernant la protection de la nature et des ressources naturelles tels qu’identifiés dans l’évaluation des incidences environnementales relative au PAG Wormeldange (source: TR-Engineering);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56B28"/>
    <w:multiLevelType w:val="hybridMultilevel"/>
    <w:tmpl w:val="596AA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46EE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46AE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2022-11-16T09:21:00Z</dcterms:modified>
</cp:coreProperties>
</file>